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tblInd w:w="-115" w:type="dxa"/>
        <w:shd w:val="clear" w:color="auto" w:fill="BFBFBF" w:themeFill="background1" w:themeFillShade="BF"/>
        <w:tblLayout w:type="fixed"/>
        <w:tblLook w:val="0400" w:firstRow="0" w:lastRow="0" w:firstColumn="0" w:lastColumn="0" w:noHBand="0" w:noVBand="1"/>
      </w:tblPr>
      <w:tblGrid>
        <w:gridCol w:w="2505"/>
        <w:gridCol w:w="7783"/>
      </w:tblGrid>
      <w:tr w:rsidR="007F181F" w14:paraId="68678920" w14:textId="77777777" w:rsidTr="07A80D7D">
        <w:trPr>
          <w:trHeight w:val="480"/>
        </w:trPr>
        <w:tc>
          <w:tcPr>
            <w:tcW w:w="2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99EEFFA" w14:textId="48C7CC36" w:rsidR="007F181F" w:rsidRDefault="008A7D8B" w:rsidP="00DA5CD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BCG </w:t>
            </w:r>
            <w:r w:rsidR="007F181F">
              <w:rPr>
                <w:rFonts w:ascii="Arial" w:hAnsi="Arial" w:cs="Arial"/>
                <w:b/>
                <w:sz w:val="28"/>
                <w:szCs w:val="24"/>
              </w:rPr>
              <w:t>2</w:t>
            </w:r>
            <w:r w:rsidR="007F181F">
              <w:rPr>
                <w:rFonts w:ascii="Arial" w:hAnsi="Arial" w:cs="Arial"/>
                <w:b/>
                <w:sz w:val="28"/>
                <w:szCs w:val="24"/>
                <w:vertAlign w:val="superscript"/>
              </w:rPr>
              <w:t>nd</w:t>
            </w:r>
            <w:r w:rsidR="007F181F">
              <w:rPr>
                <w:rFonts w:ascii="Arial" w:hAnsi="Arial" w:cs="Arial"/>
                <w:b/>
                <w:sz w:val="28"/>
                <w:szCs w:val="24"/>
              </w:rPr>
              <w:t xml:space="preserve"> groupe</w:t>
            </w:r>
          </w:p>
        </w:tc>
        <w:tc>
          <w:tcPr>
            <w:tcW w:w="7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1691C17" w14:textId="307EA2B7" w:rsidR="007F181F" w:rsidRDefault="007F181F" w:rsidP="00DA5CD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7A80D7D">
              <w:rPr>
                <w:rFonts w:ascii="Arial" w:hAnsi="Arial" w:cs="Arial"/>
                <w:b/>
                <w:bCs/>
                <w:sz w:val="28"/>
                <w:szCs w:val="28"/>
              </w:rPr>
              <w:t>EPREUVE ORALE DE PHYSIQUE-CHIMIE</w:t>
            </w:r>
            <w:r w:rsidR="289FB22F" w:rsidRPr="07A80D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EXEMPLE 1</w:t>
            </w:r>
          </w:p>
        </w:tc>
      </w:tr>
    </w:tbl>
    <w:p w14:paraId="67048AAE" w14:textId="77777777" w:rsidR="007F181F" w:rsidRDefault="007F181F" w:rsidP="007F18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2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288"/>
      </w:tblGrid>
      <w:tr w:rsidR="007F181F" w:rsidRPr="00326066" w14:paraId="6492EB98" w14:textId="77777777" w:rsidTr="00DA5CDE">
        <w:tc>
          <w:tcPr>
            <w:tcW w:w="10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9314B" w14:textId="77777777" w:rsidR="007F181F" w:rsidRPr="00326066" w:rsidRDefault="007F181F" w:rsidP="00DA5C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06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21231F26" wp14:editId="16489BF6">
                  <wp:simplePos x="0" y="0"/>
                  <wp:positionH relativeFrom="column">
                    <wp:posOffset>5145826</wp:posOffset>
                  </wp:positionH>
                  <wp:positionV relativeFrom="paragraph">
                    <wp:posOffset>81898</wp:posOffset>
                  </wp:positionV>
                  <wp:extent cx="1223158" cy="1234760"/>
                  <wp:effectExtent l="0" t="0" r="0" b="3810"/>
                  <wp:wrapSquare wrapText="bothSides"/>
                  <wp:docPr id="1878211739" name="Image 3" descr="Icône De Calculatrice Noire Motif Sans Couture Isolé Sur Fond Blanc.  Symbole Comptable. Calculs Commerciaux Illustration de Vecteur -  Illustration du calcul, concept: 216323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ône De Calculatrice Noire Motif Sans Couture Isolé Sur Fond Blanc.  Symbole Comptable. Calculs Commerciaux Illustration de Vecteur -  Illustration du calcul, concept: 216323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9" t="5571" r="55240" b="54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58" cy="123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26066">
              <w:rPr>
                <w:rFonts w:ascii="Arial" w:hAnsi="Arial" w:cs="Arial"/>
                <w:b/>
                <w:sz w:val="24"/>
                <w:szCs w:val="24"/>
              </w:rPr>
              <w:t>Temps de préparation : 20 minutes</w:t>
            </w:r>
          </w:p>
          <w:p w14:paraId="76F4DC4A" w14:textId="77777777" w:rsidR="007F181F" w:rsidRPr="00326066" w:rsidRDefault="007F181F" w:rsidP="00DA5C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sz w:val="24"/>
                <w:szCs w:val="24"/>
              </w:rPr>
              <w:t>Durée de l’entretien : 20 minutes</w:t>
            </w:r>
          </w:p>
          <w:p w14:paraId="2AB3FF1E" w14:textId="77777777" w:rsidR="007F181F" w:rsidRPr="00326066" w:rsidRDefault="007F181F" w:rsidP="00DA5C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EDBAB" w14:textId="3A2A5920" w:rsidR="007F181F" w:rsidRPr="00326066" w:rsidRDefault="007F181F" w:rsidP="00DA5C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sz w:val="24"/>
                <w:szCs w:val="24"/>
              </w:rPr>
              <w:t xml:space="preserve">Le candidat doit traiter les 2 </w:t>
            </w:r>
            <w:r w:rsidR="003F51D7" w:rsidRPr="00326066">
              <w:rPr>
                <w:rFonts w:ascii="Arial" w:hAnsi="Arial" w:cs="Arial"/>
                <w:b/>
                <w:sz w:val="24"/>
                <w:szCs w:val="24"/>
              </w:rPr>
              <w:t>exercices</w:t>
            </w:r>
            <w:r w:rsidRPr="003260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A4E0AAF" w14:textId="77777777" w:rsidR="007F181F" w:rsidRPr="00326066" w:rsidRDefault="007F181F" w:rsidP="00DA5C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sz w:val="24"/>
                <w:szCs w:val="24"/>
              </w:rPr>
              <w:t>Seul le papier de brouillon fourni peut être utilisé.</w:t>
            </w:r>
          </w:p>
          <w:p w14:paraId="0EFCB411" w14:textId="77777777" w:rsidR="007F181F" w:rsidRPr="00326066" w:rsidRDefault="007F181F" w:rsidP="00DA5C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sz w:val="24"/>
                <w:szCs w:val="24"/>
              </w:rPr>
              <w:t>Calculatrice autorisée en mode examen.</w:t>
            </w:r>
          </w:p>
          <w:p w14:paraId="0F94B783" w14:textId="77777777" w:rsidR="007F181F" w:rsidRPr="00326066" w:rsidRDefault="007F181F" w:rsidP="00DA5C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sz w:val="24"/>
                <w:szCs w:val="24"/>
              </w:rPr>
              <w:t>Le téléphone portable et tout autre moyen de communication sont interdits.</w:t>
            </w:r>
          </w:p>
          <w:p w14:paraId="5750CD11" w14:textId="77777777" w:rsidR="007F181F" w:rsidRPr="00326066" w:rsidRDefault="007F181F" w:rsidP="00DA5C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color w:val="FF0000"/>
                <w:sz w:val="24"/>
                <w:szCs w:val="24"/>
              </w:rPr>
              <w:t>NE PAS ECRIRE SUR LE SUJET</w:t>
            </w:r>
          </w:p>
          <w:p w14:paraId="2C65EE31" w14:textId="77777777" w:rsidR="00CB37FA" w:rsidRDefault="007F181F" w:rsidP="00DA5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  <w:u w:val="single"/>
              </w:rPr>
              <w:t>Remarques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 : Les questions posées constituent une base d’argumentation pour l’entretien.  Vous devez être capable de justifier vos réponses, mais </w:t>
            </w:r>
            <w:r w:rsidR="00CB37FA">
              <w:rPr>
                <w:rFonts w:ascii="Arial" w:hAnsi="Arial" w:cs="Arial"/>
                <w:sz w:val="24"/>
                <w:szCs w:val="24"/>
              </w:rPr>
              <w:t xml:space="preserve">il est 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inutile de les rédiger complètement par écrit. </w:t>
            </w:r>
          </w:p>
          <w:p w14:paraId="51D7F305" w14:textId="6BF4E0EE" w:rsidR="007F181F" w:rsidRPr="00326066" w:rsidRDefault="007F181F" w:rsidP="00DA5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>Des questions complémentaires peuvent vous être posées au cours de l’entretien.</w:t>
            </w:r>
          </w:p>
        </w:tc>
      </w:tr>
    </w:tbl>
    <w:p w14:paraId="73650BD2" w14:textId="27377710" w:rsidR="007F181F" w:rsidRPr="00326066" w:rsidRDefault="007F181F" w:rsidP="000572C2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DF7615" w14:textId="77777777" w:rsidR="00B90409" w:rsidRPr="00326066" w:rsidRDefault="00B90409" w:rsidP="000572C2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311" w:type="dxa"/>
        <w:tblInd w:w="-1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000000" w:themeFill="text1"/>
        <w:tblLayout w:type="fixed"/>
        <w:tblLook w:val="0400" w:firstRow="0" w:lastRow="0" w:firstColumn="0" w:lastColumn="0" w:noHBand="0" w:noVBand="1"/>
      </w:tblPr>
      <w:tblGrid>
        <w:gridCol w:w="8757"/>
        <w:gridCol w:w="1554"/>
      </w:tblGrid>
      <w:tr w:rsidR="007F181F" w:rsidRPr="00326066" w14:paraId="455F0399" w14:textId="77777777" w:rsidTr="00DA5CDE">
        <w:trPr>
          <w:trHeight w:val="484"/>
        </w:trPr>
        <w:tc>
          <w:tcPr>
            <w:tcW w:w="8756" w:type="dxa"/>
            <w:shd w:val="clear" w:color="auto" w:fill="000000" w:themeFill="text1"/>
            <w:vAlign w:val="center"/>
          </w:tcPr>
          <w:p w14:paraId="06835CD2" w14:textId="384F2718" w:rsidR="007F181F" w:rsidRPr="00326066" w:rsidRDefault="003F51D7" w:rsidP="000572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sz w:val="24"/>
                <w:szCs w:val="24"/>
              </w:rPr>
              <w:t>Exercice</w:t>
            </w:r>
            <w:r w:rsidR="007F181F" w:rsidRPr="0032606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Pr="0032606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F181F" w:rsidRPr="003260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7F181F" w:rsidRPr="00326066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B90409" w:rsidRPr="00326066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="007F181F" w:rsidRPr="00326066">
              <w:rPr>
                <w:rFonts w:ascii="Arial" w:hAnsi="Arial" w:cs="Arial"/>
                <w:b/>
                <w:sz w:val="24"/>
                <w:szCs w:val="24"/>
              </w:rPr>
              <w:t xml:space="preserve"> ion</w:t>
            </w:r>
            <w:proofErr w:type="gramEnd"/>
            <w:r w:rsidR="007F181F" w:rsidRPr="00326066">
              <w:rPr>
                <w:rFonts w:ascii="Arial" w:hAnsi="Arial" w:cs="Arial"/>
                <w:b/>
                <w:sz w:val="24"/>
                <w:szCs w:val="24"/>
              </w:rPr>
              <w:t xml:space="preserve"> hydrogénocarbonate HCO</w:t>
            </w:r>
            <w:r w:rsidR="007F181F" w:rsidRPr="00326066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3</w:t>
            </w:r>
            <w:r w:rsidR="007F181F" w:rsidRPr="0032606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–</w:t>
            </w:r>
            <w:r w:rsidR="007F181F" w:rsidRPr="00326066">
              <w:rPr>
                <w:rFonts w:ascii="Arial" w:hAnsi="Arial" w:cs="Arial"/>
                <w:b/>
                <w:sz w:val="24"/>
                <w:szCs w:val="24"/>
              </w:rPr>
              <w:t xml:space="preserve"> dans les eaux minérales</w:t>
            </w:r>
          </w:p>
        </w:tc>
        <w:tc>
          <w:tcPr>
            <w:tcW w:w="1554" w:type="dxa"/>
            <w:shd w:val="clear" w:color="auto" w:fill="000000" w:themeFill="text1"/>
            <w:vAlign w:val="center"/>
          </w:tcPr>
          <w:p w14:paraId="788C9C8F" w14:textId="77777777" w:rsidR="007F181F" w:rsidRPr="00326066" w:rsidRDefault="007F181F" w:rsidP="000572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sz w:val="24"/>
                <w:szCs w:val="24"/>
              </w:rPr>
              <w:t>CHIMIE</w:t>
            </w:r>
          </w:p>
        </w:tc>
      </w:tr>
    </w:tbl>
    <w:p w14:paraId="6919E2EA" w14:textId="77777777" w:rsidR="007F181F" w:rsidRPr="00326066" w:rsidRDefault="007F181F" w:rsidP="000572C2">
      <w:pPr>
        <w:pStyle w:val="Titre4"/>
        <w:spacing w:before="0" w:after="0" w:line="240" w:lineRule="auto"/>
        <w:rPr>
          <w:rFonts w:ascii="Arial" w:eastAsia="Times New Roman" w:hAnsi="Arial" w:cs="Arial"/>
          <w:i w:val="0"/>
          <w:iCs w:val="0"/>
          <w:color w:val="auto"/>
          <w:sz w:val="24"/>
          <w:szCs w:val="24"/>
          <w:u w:val="single"/>
        </w:rPr>
      </w:pPr>
    </w:p>
    <w:p w14:paraId="6FD1E325" w14:textId="77777777" w:rsidR="00B90409" w:rsidRPr="00326066" w:rsidRDefault="00AA5180" w:rsidP="000572C2">
      <w:pPr>
        <w:spacing w:after="0" w:line="240" w:lineRule="auto"/>
        <w:ind w:right="-11"/>
        <w:rPr>
          <w:rFonts w:ascii="Arial" w:hAnsi="Arial" w:cs="Arial"/>
          <w:sz w:val="24"/>
          <w:szCs w:val="24"/>
        </w:rPr>
      </w:pPr>
      <w:r w:rsidRPr="00326066">
        <w:rPr>
          <w:rFonts w:ascii="Arial" w:hAnsi="Arial" w:cs="Arial"/>
          <w:sz w:val="24"/>
          <w:szCs w:val="24"/>
        </w:rPr>
        <w:t>La plupart des eaux minérales contiennent des ions hydrogénocarbonat</w:t>
      </w:r>
      <w:r w:rsidR="000011F4">
        <w:rPr>
          <w:rFonts w:ascii="Arial" w:hAnsi="Arial" w:cs="Arial"/>
          <w:sz w:val="24"/>
          <w:szCs w:val="24"/>
        </w:rPr>
        <w:pict w14:anchorId="77DF8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3" o:spid="_x0000_s1033" type="#_x0000_t75" style="position:absolute;margin-left:0;margin-top:0;width:50pt;height:50pt;z-index:251656704;visibility:hidden;mso-position-horizontal-relative:text;mso-position-vertical-relative:text">
            <o:lock v:ext="edit" selection="t"/>
          </v:shape>
        </w:pict>
      </w:r>
      <w:r w:rsidR="00E51179" w:rsidRPr="00326066">
        <w:rPr>
          <w:rFonts w:ascii="Arial" w:hAnsi="Arial" w:cs="Arial"/>
          <w:sz w:val="24"/>
          <w:szCs w:val="24"/>
        </w:rPr>
        <w:t>e</w:t>
      </w:r>
      <w:r w:rsidR="00B90409" w:rsidRPr="00326066">
        <w:rPr>
          <w:rFonts w:ascii="Arial" w:hAnsi="Arial" w:cs="Arial"/>
          <w:sz w:val="24"/>
          <w:szCs w:val="24"/>
        </w:rPr>
        <w:t>s</w:t>
      </w:r>
      <w:r w:rsidR="00E51179" w:rsidRPr="00326066">
        <w:rPr>
          <w:rFonts w:ascii="Arial" w:hAnsi="Arial" w:cs="Arial"/>
          <w:sz w:val="24"/>
          <w:szCs w:val="24"/>
        </w:rPr>
        <w:t xml:space="preserve"> HCO</w:t>
      </w:r>
      <w:r w:rsidR="00E51179" w:rsidRPr="00326066">
        <w:rPr>
          <w:rFonts w:ascii="Arial" w:hAnsi="Arial" w:cs="Arial"/>
          <w:sz w:val="24"/>
          <w:szCs w:val="24"/>
          <w:vertAlign w:val="subscript"/>
        </w:rPr>
        <w:t>3</w:t>
      </w:r>
      <w:r w:rsidR="00E51179" w:rsidRPr="00326066">
        <w:rPr>
          <w:rFonts w:ascii="Arial" w:hAnsi="Arial" w:cs="Arial"/>
          <w:sz w:val="24"/>
          <w:szCs w:val="24"/>
          <w:vertAlign w:val="superscript"/>
        </w:rPr>
        <w:t>–</w:t>
      </w:r>
      <w:r w:rsidRPr="00326066">
        <w:rPr>
          <w:rFonts w:ascii="Arial" w:hAnsi="Arial" w:cs="Arial"/>
          <w:sz w:val="24"/>
          <w:szCs w:val="24"/>
        </w:rPr>
        <w:t xml:space="preserve">. </w:t>
      </w:r>
    </w:p>
    <w:p w14:paraId="6236ECC6" w14:textId="4A9A1F4C" w:rsidR="008724D6" w:rsidRPr="00326066" w:rsidRDefault="00AA5180" w:rsidP="000572C2">
      <w:pPr>
        <w:spacing w:after="0" w:line="240" w:lineRule="auto"/>
        <w:ind w:right="-11"/>
        <w:rPr>
          <w:rFonts w:ascii="Arial" w:hAnsi="Arial" w:cs="Arial"/>
          <w:sz w:val="24"/>
          <w:szCs w:val="24"/>
        </w:rPr>
      </w:pPr>
      <w:r w:rsidRPr="00326066">
        <w:rPr>
          <w:rFonts w:ascii="Arial" w:hAnsi="Arial" w:cs="Arial"/>
          <w:sz w:val="24"/>
          <w:szCs w:val="24"/>
        </w:rPr>
        <w:t>L’ion</w:t>
      </w:r>
      <w:r w:rsidR="00E51179" w:rsidRPr="00326066">
        <w:rPr>
          <w:rFonts w:ascii="Arial" w:hAnsi="Arial" w:cs="Arial"/>
          <w:sz w:val="24"/>
          <w:szCs w:val="24"/>
        </w:rPr>
        <w:t xml:space="preserve"> HCO</w:t>
      </w:r>
      <w:r w:rsidR="00E51179" w:rsidRPr="00326066">
        <w:rPr>
          <w:rFonts w:ascii="Arial" w:hAnsi="Arial" w:cs="Arial"/>
          <w:sz w:val="24"/>
          <w:szCs w:val="24"/>
          <w:vertAlign w:val="subscript"/>
        </w:rPr>
        <w:t>3</w:t>
      </w:r>
      <w:r w:rsidR="00E51179" w:rsidRPr="00326066">
        <w:rPr>
          <w:rFonts w:ascii="Arial" w:hAnsi="Arial" w:cs="Arial"/>
          <w:sz w:val="24"/>
          <w:szCs w:val="24"/>
          <w:vertAlign w:val="superscript"/>
        </w:rPr>
        <w:t>–</w:t>
      </w:r>
      <w:r w:rsidRPr="00326066">
        <w:rPr>
          <w:rFonts w:ascii="Arial" w:hAnsi="Arial" w:cs="Arial"/>
          <w:sz w:val="24"/>
          <w:szCs w:val="24"/>
        </w:rPr>
        <w:t xml:space="preserve"> </w:t>
      </w:r>
      <w:r w:rsidR="000011F4">
        <w:rPr>
          <w:rFonts w:ascii="Arial" w:hAnsi="Arial" w:cs="Arial"/>
          <w:sz w:val="24"/>
          <w:szCs w:val="24"/>
        </w:rPr>
        <w:pict w14:anchorId="2830FBF9">
          <v:shape id="_x0000_tole_rId5" o:spid="_x0000_s1031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 w:rsidRPr="00326066">
        <w:rPr>
          <w:rFonts w:ascii="Arial" w:hAnsi="Arial" w:cs="Arial"/>
          <w:sz w:val="24"/>
          <w:szCs w:val="24"/>
        </w:rPr>
        <w:t xml:space="preserve"> </w:t>
      </w:r>
      <w:r w:rsidR="00B90409" w:rsidRPr="00326066">
        <w:rPr>
          <w:rFonts w:ascii="Arial" w:hAnsi="Arial" w:cs="Arial"/>
          <w:sz w:val="24"/>
          <w:szCs w:val="24"/>
        </w:rPr>
        <w:t>appartient à</w:t>
      </w:r>
      <w:r w:rsidRPr="00326066">
        <w:rPr>
          <w:rFonts w:ascii="Arial" w:hAnsi="Arial" w:cs="Arial"/>
          <w:sz w:val="24"/>
          <w:szCs w:val="24"/>
        </w:rPr>
        <w:t xml:space="preserve"> deux couples acido-basiques</w:t>
      </w:r>
      <w:r w:rsidR="00B90409" w:rsidRPr="00326066">
        <w:rPr>
          <w:rFonts w:ascii="Arial" w:hAnsi="Arial" w:cs="Arial"/>
          <w:sz w:val="24"/>
          <w:szCs w:val="24"/>
        </w:rPr>
        <w:t xml:space="preserve"> distincts selon Brönsted,</w:t>
      </w:r>
      <w:r w:rsidRPr="00326066">
        <w:rPr>
          <w:rFonts w:ascii="Arial" w:hAnsi="Arial" w:cs="Arial"/>
          <w:sz w:val="24"/>
          <w:szCs w:val="24"/>
        </w:rPr>
        <w:t xml:space="preserve"> et</w:t>
      </w:r>
      <w:r w:rsidR="00B90409" w:rsidRPr="00326066">
        <w:rPr>
          <w:rFonts w:ascii="Arial" w:hAnsi="Arial" w:cs="Arial"/>
          <w:sz w:val="24"/>
          <w:szCs w:val="24"/>
        </w:rPr>
        <w:t xml:space="preserve"> il</w:t>
      </w:r>
      <w:r w:rsidRPr="00326066">
        <w:rPr>
          <w:rFonts w:ascii="Arial" w:hAnsi="Arial" w:cs="Arial"/>
          <w:sz w:val="24"/>
          <w:szCs w:val="24"/>
        </w:rPr>
        <w:t xml:space="preserve"> peut être dosé par </w:t>
      </w:r>
      <w:r w:rsidR="00B90409" w:rsidRPr="00326066">
        <w:rPr>
          <w:rFonts w:ascii="Arial" w:hAnsi="Arial" w:cs="Arial"/>
          <w:sz w:val="24"/>
          <w:szCs w:val="24"/>
        </w:rPr>
        <w:t>une solution aqueuse d</w:t>
      </w:r>
      <w:r w:rsidRPr="00326066">
        <w:rPr>
          <w:rFonts w:ascii="Arial" w:hAnsi="Arial" w:cs="Arial"/>
          <w:sz w:val="24"/>
          <w:szCs w:val="24"/>
        </w:rPr>
        <w:t>’acide chlorhydrique (H</w:t>
      </w:r>
      <w:r w:rsidRPr="00326066">
        <w:rPr>
          <w:rFonts w:ascii="Arial" w:hAnsi="Arial" w:cs="Arial"/>
          <w:sz w:val="24"/>
          <w:szCs w:val="24"/>
          <w:vertAlign w:val="subscript"/>
        </w:rPr>
        <w:t>3</w:t>
      </w:r>
      <w:r w:rsidR="00AE4533" w:rsidRPr="00326066">
        <w:rPr>
          <w:rFonts w:ascii="Arial" w:hAnsi="Arial" w:cs="Arial"/>
          <w:sz w:val="24"/>
          <w:szCs w:val="24"/>
        </w:rPr>
        <w:t>O</w:t>
      </w:r>
      <w:r w:rsidR="00AE4533" w:rsidRPr="00326066">
        <w:rPr>
          <w:rFonts w:ascii="Arial" w:hAnsi="Arial" w:cs="Arial"/>
          <w:sz w:val="24"/>
          <w:szCs w:val="24"/>
          <w:vertAlign w:val="superscript"/>
        </w:rPr>
        <w:t>+</w:t>
      </w:r>
      <w:r w:rsidR="00AE4533" w:rsidRPr="00326066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AE4533" w:rsidRPr="00326066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AE4533" w:rsidRPr="00326066">
        <w:rPr>
          <w:rFonts w:ascii="Arial" w:hAnsi="Arial" w:cs="Arial"/>
          <w:sz w:val="24"/>
          <w:szCs w:val="24"/>
          <w:vertAlign w:val="subscript"/>
        </w:rPr>
        <w:t>)</w:t>
      </w:r>
      <w:r w:rsidRPr="00326066">
        <w:rPr>
          <w:rFonts w:ascii="Arial" w:hAnsi="Arial" w:cs="Arial"/>
          <w:sz w:val="24"/>
          <w:szCs w:val="24"/>
        </w:rPr>
        <w:t>, C</w:t>
      </w:r>
      <w:r w:rsidR="00AE4533" w:rsidRPr="00326066">
        <w:rPr>
          <w:rFonts w:ascii="Arial" w:hAnsi="Arial" w:cs="Arial"/>
          <w:sz w:val="24"/>
          <w:szCs w:val="24"/>
        </w:rPr>
        <w:t>l</w:t>
      </w:r>
      <w:r w:rsidR="00AE4533" w:rsidRPr="00326066">
        <w:rPr>
          <w:rFonts w:ascii="Arial" w:hAnsi="Arial" w:cs="Arial"/>
          <w:sz w:val="24"/>
          <w:szCs w:val="24"/>
          <w:vertAlign w:val="superscript"/>
        </w:rPr>
        <w:t>–</w:t>
      </w:r>
      <w:r w:rsidR="00AE4533" w:rsidRPr="00326066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AE4533" w:rsidRPr="00326066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AE4533" w:rsidRPr="00326066">
        <w:rPr>
          <w:rFonts w:ascii="Arial" w:hAnsi="Arial" w:cs="Arial"/>
          <w:sz w:val="24"/>
          <w:szCs w:val="24"/>
          <w:vertAlign w:val="subscript"/>
        </w:rPr>
        <w:t>)</w:t>
      </w:r>
      <w:r w:rsidRPr="00326066">
        <w:rPr>
          <w:rFonts w:ascii="Arial" w:hAnsi="Arial" w:cs="Arial"/>
          <w:sz w:val="24"/>
          <w:szCs w:val="24"/>
        </w:rPr>
        <w:t>).</w:t>
      </w:r>
    </w:p>
    <w:p w14:paraId="06AF4E79" w14:textId="77777777" w:rsidR="000572C2" w:rsidRPr="00326066" w:rsidRDefault="000572C2" w:rsidP="000572C2">
      <w:pPr>
        <w:spacing w:after="0" w:line="240" w:lineRule="auto"/>
        <w:ind w:right="-11"/>
        <w:rPr>
          <w:rFonts w:ascii="Arial" w:hAnsi="Arial" w:cs="Arial"/>
          <w:sz w:val="24"/>
          <w:szCs w:val="24"/>
        </w:rPr>
      </w:pPr>
    </w:p>
    <w:tbl>
      <w:tblPr>
        <w:tblW w:w="10579" w:type="dxa"/>
        <w:jc w:val="center"/>
        <w:tblLayout w:type="fixed"/>
        <w:tblLook w:val="04A0" w:firstRow="1" w:lastRow="0" w:firstColumn="1" w:lastColumn="0" w:noHBand="0" w:noVBand="1"/>
      </w:tblPr>
      <w:tblGrid>
        <w:gridCol w:w="5835"/>
        <w:gridCol w:w="2790"/>
        <w:gridCol w:w="1606"/>
        <w:gridCol w:w="348"/>
      </w:tblGrid>
      <w:tr w:rsidR="008724D6" w:rsidRPr="00326066" w14:paraId="41BA9848" w14:textId="77777777" w:rsidTr="2DE2E0C6">
        <w:trPr>
          <w:gridAfter w:val="1"/>
          <w:wAfter w:w="348" w:type="dxa"/>
          <w:jc w:val="center"/>
        </w:trPr>
        <w:tc>
          <w:tcPr>
            <w:tcW w:w="8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2663A2" w14:textId="77777777" w:rsidR="008724D6" w:rsidRPr="00326066" w:rsidRDefault="00AA5180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bCs/>
                <w:sz w:val="24"/>
                <w:szCs w:val="24"/>
              </w:rPr>
              <w:t>Couple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939C9" w14:textId="77777777" w:rsidR="008724D6" w:rsidRPr="00326066" w:rsidRDefault="00AA5180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2606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pKa</w:t>
            </w:r>
            <w:proofErr w:type="spellEnd"/>
            <w:proofErr w:type="gramEnd"/>
            <w:r w:rsidRPr="0032606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à 298K</w:t>
            </w:r>
          </w:p>
        </w:tc>
      </w:tr>
      <w:tr w:rsidR="008724D6" w:rsidRPr="00326066" w14:paraId="6359349F" w14:textId="77777777" w:rsidTr="2DE2E0C6">
        <w:trPr>
          <w:trHeight w:val="443"/>
          <w:jc w:val="center"/>
        </w:trPr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0C7D7" w14:textId="797E2794" w:rsidR="008724D6" w:rsidRPr="00326066" w:rsidRDefault="00B90409" w:rsidP="000572C2">
            <w:pPr>
              <w:spacing w:after="0" w:line="240" w:lineRule="auto"/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>D</w:t>
            </w:r>
            <w:r w:rsidR="000572C2" w:rsidRPr="00326066">
              <w:rPr>
                <w:rFonts w:ascii="Arial" w:hAnsi="Arial" w:cs="Arial"/>
                <w:sz w:val="24"/>
                <w:szCs w:val="24"/>
              </w:rPr>
              <w:t>ioxyde de carbone dissous / ion hydrogénocarbonate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F5A19" w14:textId="173B06BF" w:rsidR="008724D6" w:rsidRPr="00326066" w:rsidRDefault="00AA5180" w:rsidP="000572C2">
            <w:pPr>
              <w:spacing w:after="0" w:line="240" w:lineRule="auto"/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326066">
              <w:rPr>
                <w:rFonts w:ascii="Arial" w:hAnsi="Arial" w:cs="Arial"/>
                <w:sz w:val="24"/>
                <w:szCs w:val="24"/>
              </w:rPr>
              <w:t>CO</w:t>
            </w:r>
            <w:r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326066">
              <w:rPr>
                <w:rFonts w:ascii="Arial" w:hAnsi="Arial" w:cs="Arial"/>
                <w:sz w:val="24"/>
                <w:szCs w:val="24"/>
              </w:rPr>
              <w:t>,H</w:t>
            </w:r>
            <w:r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326066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326066">
              <w:rPr>
                <w:rFonts w:ascii="Arial" w:hAnsi="Arial" w:cs="Arial"/>
                <w:sz w:val="24"/>
                <w:szCs w:val="24"/>
              </w:rPr>
              <w:t xml:space="preserve">) / </w:t>
            </w:r>
            <w:r w:rsidR="000572C2" w:rsidRPr="00326066">
              <w:rPr>
                <w:rFonts w:ascii="Arial" w:hAnsi="Arial" w:cs="Arial"/>
                <w:sz w:val="24"/>
                <w:szCs w:val="24"/>
              </w:rPr>
              <w:t>HCO</w:t>
            </w:r>
            <w:r w:rsidR="000572C2"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="000572C2"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>–</w:t>
            </w:r>
            <w:r w:rsidR="000011F4">
              <w:rPr>
                <w:rFonts w:ascii="Arial" w:hAnsi="Arial" w:cs="Arial"/>
                <w:sz w:val="24"/>
                <w:szCs w:val="24"/>
              </w:rPr>
              <w:pict w14:anchorId="6B09AD83">
                <v:shape id="_x0000_tole_rId7" o:spid="_x0000_s1029" type="#_x0000_t75" style="position:absolute;margin-left:0;margin-top:0;width:50pt;height:50pt;z-index:251658752;visibility:hidden;mso-position-horizontal-relative:text;mso-position-vertical-relative:text">
                  <o:lock v:ext="edit" selection="t"/>
                </v:shape>
              </w:pict>
            </w:r>
            <w:r w:rsidR="000572C2"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0572C2"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proofErr w:type="spellStart"/>
            <w:r w:rsidR="000572C2"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aq</w:t>
            </w:r>
            <w:proofErr w:type="spellEnd"/>
            <w:r w:rsidR="000572C2"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04680" w14:textId="77777777" w:rsidR="008724D6" w:rsidRPr="00326066" w:rsidRDefault="00AA5180" w:rsidP="000572C2">
            <w:pPr>
              <w:spacing w:after="0" w:line="240" w:lineRule="auto"/>
              <w:ind w:right="-11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326066">
              <w:rPr>
                <w:rFonts w:ascii="Arial" w:hAnsi="Arial" w:cs="Arial"/>
                <w:iCs/>
                <w:sz w:val="24"/>
                <w:szCs w:val="24"/>
              </w:rPr>
              <w:t>pKa</w:t>
            </w:r>
            <w:proofErr w:type="gramEnd"/>
            <w:r w:rsidRPr="00326066">
              <w:rPr>
                <w:rFonts w:ascii="Arial" w:hAnsi="Arial" w:cs="Arial"/>
                <w:iCs/>
                <w:sz w:val="24"/>
                <w:szCs w:val="24"/>
                <w:vertAlign w:val="subscript"/>
              </w:rPr>
              <w:t>1</w:t>
            </w:r>
            <w:r w:rsidRPr="00326066">
              <w:rPr>
                <w:rFonts w:ascii="Arial" w:hAnsi="Arial" w:cs="Arial"/>
                <w:iCs/>
                <w:sz w:val="24"/>
                <w:szCs w:val="24"/>
              </w:rPr>
              <w:t xml:space="preserve"> = 6,4</w:t>
            </w:r>
          </w:p>
        </w:tc>
        <w:tc>
          <w:tcPr>
            <w:tcW w:w="348" w:type="dxa"/>
          </w:tcPr>
          <w:p w14:paraId="3A3D790A" w14:textId="77777777" w:rsidR="008724D6" w:rsidRPr="00326066" w:rsidRDefault="008724D6" w:rsidP="000572C2">
            <w:pPr>
              <w:spacing w:after="0" w:line="240" w:lineRule="auto"/>
              <w:ind w:right="-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4D6" w:rsidRPr="00326066" w14:paraId="6A184C73" w14:textId="77777777" w:rsidTr="2DE2E0C6">
        <w:trPr>
          <w:trHeight w:val="443"/>
          <w:jc w:val="center"/>
        </w:trPr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4963E" w14:textId="4F680283" w:rsidR="008724D6" w:rsidRPr="00326066" w:rsidRDefault="00B90409" w:rsidP="000572C2">
            <w:pPr>
              <w:spacing w:after="0" w:line="240" w:lineRule="auto"/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>I</w:t>
            </w:r>
            <w:r w:rsidR="000572C2" w:rsidRPr="00326066">
              <w:rPr>
                <w:rFonts w:ascii="Arial" w:hAnsi="Arial" w:cs="Arial"/>
                <w:sz w:val="24"/>
                <w:szCs w:val="24"/>
              </w:rPr>
              <w:t>on hydrogénocarbonate / ion carbonate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4CA9A" w14:textId="0E157FE1" w:rsidR="008724D6" w:rsidRPr="00326066" w:rsidRDefault="000572C2" w:rsidP="000572C2">
            <w:pPr>
              <w:spacing w:after="0" w:line="240" w:lineRule="auto"/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>HCO</w:t>
            </w:r>
            <w:r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>–</w:t>
            </w:r>
            <w:r w:rsidRPr="0032606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B27BE1A" wp14:editId="6B5099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7572242" name="Rectangle 1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170D8767">
                    <v:rect id="Rectangle 10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135FD5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>
                      <o:lock v:ext="edit" selection="t" aspectratio="t"/>
                    </v:rect>
                  </w:pict>
                </mc:Fallback>
              </mc:AlternateContent>
            </w:r>
            <w:r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proofErr w:type="spellStart"/>
            <w:r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aq</w:t>
            </w:r>
            <w:proofErr w:type="spellEnd"/>
            <w:r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)</w:t>
            </w:r>
            <w:r w:rsidR="000011F4">
              <w:rPr>
                <w:rFonts w:ascii="Arial" w:hAnsi="Arial" w:cs="Arial"/>
                <w:sz w:val="24"/>
                <w:szCs w:val="24"/>
                <w:vertAlign w:val="subscript"/>
              </w:rPr>
              <w:pict w14:anchorId="0E6064F7">
                <v:shape id="_x0000_tole_rId9" o:spid="_x0000_s1027" type="#_x0000_t75" style="position:absolute;margin-left:0;margin-top:0;width:50pt;height:50pt;z-index:251659776;visibility:hidden;mso-position-horizontal-relative:text;mso-position-vertical-relative:text">
                  <o:lock v:ext="edit" selection="t"/>
                </v:shape>
              </w:pict>
            </w:r>
            <w:r w:rsidRPr="00326066">
              <w:rPr>
                <w:rFonts w:ascii="Arial" w:hAnsi="Arial" w:cs="Arial"/>
                <w:sz w:val="24"/>
                <w:szCs w:val="24"/>
              </w:rPr>
              <w:t> / CO</w:t>
            </w:r>
            <w:r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>2–</w:t>
            </w:r>
            <w:r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proofErr w:type="spellStart"/>
            <w:r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aq</w:t>
            </w:r>
            <w:proofErr w:type="spellEnd"/>
            <w:r w:rsidRPr="00326066">
              <w:rPr>
                <w:rFonts w:ascii="Arial" w:hAnsi="Arial" w:cs="Arial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D3602" w14:textId="77777777" w:rsidR="008724D6" w:rsidRPr="00326066" w:rsidRDefault="00AA5180" w:rsidP="000572C2">
            <w:pPr>
              <w:spacing w:after="0" w:line="240" w:lineRule="auto"/>
              <w:ind w:right="-11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326066">
              <w:rPr>
                <w:rFonts w:ascii="Arial" w:hAnsi="Arial" w:cs="Arial"/>
                <w:iCs/>
                <w:sz w:val="24"/>
                <w:szCs w:val="24"/>
              </w:rPr>
              <w:t>pKa</w:t>
            </w:r>
            <w:proofErr w:type="gramEnd"/>
            <w:r w:rsidRPr="00326066">
              <w:rPr>
                <w:rFonts w:ascii="Arial" w:hAnsi="Arial" w:cs="Arial"/>
                <w:iCs/>
                <w:sz w:val="24"/>
                <w:szCs w:val="24"/>
                <w:vertAlign w:val="subscript"/>
              </w:rPr>
              <w:t>2</w:t>
            </w:r>
            <w:r w:rsidRPr="00326066">
              <w:rPr>
                <w:rFonts w:ascii="Arial" w:hAnsi="Arial" w:cs="Arial"/>
                <w:iCs/>
                <w:sz w:val="24"/>
                <w:szCs w:val="24"/>
              </w:rPr>
              <w:t xml:space="preserve"> = 10,3</w:t>
            </w:r>
          </w:p>
        </w:tc>
        <w:tc>
          <w:tcPr>
            <w:tcW w:w="348" w:type="dxa"/>
          </w:tcPr>
          <w:p w14:paraId="1FADD02F" w14:textId="77777777" w:rsidR="008724D6" w:rsidRPr="00326066" w:rsidRDefault="008724D6" w:rsidP="000572C2">
            <w:pPr>
              <w:spacing w:after="0" w:line="240" w:lineRule="auto"/>
              <w:ind w:right="-1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D13B06" w14:textId="77777777" w:rsidR="000572C2" w:rsidRPr="00326066" w:rsidRDefault="000572C2" w:rsidP="000572C2">
      <w:pPr>
        <w:pStyle w:val="Titresoulign"/>
        <w:spacing w:before="0" w:after="0"/>
        <w:ind w:right="-11"/>
        <w:rPr>
          <w:rFonts w:cs="Arial"/>
          <w:sz w:val="24"/>
        </w:rPr>
      </w:pPr>
    </w:p>
    <w:p w14:paraId="4E97F67E" w14:textId="4729205F" w:rsidR="003F51D7" w:rsidRPr="00326066" w:rsidRDefault="000572C2" w:rsidP="003F51D7">
      <w:pPr>
        <w:pStyle w:val="Paragraphedeliste"/>
        <w:numPr>
          <w:ilvl w:val="0"/>
          <w:numId w:val="1"/>
        </w:numPr>
        <w:spacing w:after="0" w:line="240" w:lineRule="auto"/>
        <w:ind w:right="-11"/>
        <w:jc w:val="both"/>
        <w:rPr>
          <w:rFonts w:ascii="Arial" w:hAnsi="Arial" w:cs="Arial"/>
          <w:sz w:val="24"/>
          <w:szCs w:val="24"/>
        </w:rPr>
      </w:pPr>
      <w:r w:rsidRPr="00326066">
        <w:rPr>
          <w:rFonts w:ascii="Arial" w:hAnsi="Arial" w:cs="Arial"/>
          <w:sz w:val="24"/>
          <w:szCs w:val="24"/>
        </w:rPr>
        <w:t xml:space="preserve">Parmi les deux couples précédents, </w:t>
      </w:r>
      <w:r w:rsidR="00254690" w:rsidRPr="00326066">
        <w:rPr>
          <w:rFonts w:ascii="Arial" w:hAnsi="Arial" w:cs="Arial"/>
          <w:sz w:val="24"/>
          <w:szCs w:val="24"/>
        </w:rPr>
        <w:t>d</w:t>
      </w:r>
      <w:r w:rsidRPr="00326066">
        <w:rPr>
          <w:rFonts w:ascii="Arial" w:hAnsi="Arial" w:cs="Arial"/>
          <w:sz w:val="24"/>
          <w:szCs w:val="24"/>
        </w:rPr>
        <w:t xml:space="preserve">éterminer l’espèce chimique prédominante dans une eau minérale de </w:t>
      </w:r>
      <w:r w:rsidRPr="00326066">
        <w:rPr>
          <w:rFonts w:ascii="Arial" w:hAnsi="Arial" w:cs="Arial"/>
          <w:iCs/>
          <w:sz w:val="24"/>
          <w:szCs w:val="24"/>
        </w:rPr>
        <w:t>pH</w:t>
      </w:r>
      <w:r w:rsidRPr="00326066">
        <w:rPr>
          <w:rFonts w:ascii="Arial" w:hAnsi="Arial" w:cs="Arial"/>
          <w:sz w:val="24"/>
          <w:szCs w:val="24"/>
        </w:rPr>
        <w:t xml:space="preserve"> égal à 7,3 (</w:t>
      </w:r>
      <w:r w:rsidR="00254690" w:rsidRPr="00326066">
        <w:rPr>
          <w:rFonts w:ascii="Arial" w:hAnsi="Arial" w:cs="Arial"/>
          <w:sz w:val="24"/>
          <w:szCs w:val="24"/>
        </w:rPr>
        <w:t>l’utilisation d’</w:t>
      </w:r>
      <w:r w:rsidRPr="00326066">
        <w:rPr>
          <w:rFonts w:ascii="Arial" w:hAnsi="Arial" w:cs="Arial"/>
          <w:sz w:val="24"/>
          <w:szCs w:val="24"/>
        </w:rPr>
        <w:t>un diagramme de prédominance</w:t>
      </w:r>
      <w:r w:rsidR="00254690" w:rsidRPr="00326066">
        <w:rPr>
          <w:rFonts w:ascii="Arial" w:hAnsi="Arial" w:cs="Arial"/>
          <w:sz w:val="24"/>
          <w:szCs w:val="24"/>
        </w:rPr>
        <w:t xml:space="preserve"> est possible</w:t>
      </w:r>
      <w:r w:rsidRPr="00326066">
        <w:rPr>
          <w:rFonts w:ascii="Arial" w:hAnsi="Arial" w:cs="Arial"/>
          <w:sz w:val="24"/>
          <w:szCs w:val="24"/>
        </w:rPr>
        <w:t>)</w:t>
      </w:r>
      <w:r w:rsidR="00254690" w:rsidRPr="00326066">
        <w:rPr>
          <w:rFonts w:ascii="Arial" w:hAnsi="Arial" w:cs="Arial"/>
          <w:sz w:val="24"/>
          <w:szCs w:val="24"/>
        </w:rPr>
        <w:t>.</w:t>
      </w:r>
      <w:r w:rsidRPr="00326066">
        <w:rPr>
          <w:rFonts w:ascii="Arial" w:hAnsi="Arial" w:cs="Arial"/>
          <w:sz w:val="24"/>
          <w:szCs w:val="24"/>
        </w:rPr>
        <w:t xml:space="preserve"> </w:t>
      </w:r>
    </w:p>
    <w:p w14:paraId="4566E04F" w14:textId="77777777" w:rsidR="003F51D7" w:rsidRPr="00326066" w:rsidRDefault="003F51D7" w:rsidP="003F51D7">
      <w:pPr>
        <w:spacing w:after="0" w:line="240" w:lineRule="auto"/>
        <w:ind w:right="-11"/>
        <w:jc w:val="both"/>
        <w:rPr>
          <w:rFonts w:ascii="Arial" w:hAnsi="Arial" w:cs="Arial"/>
          <w:sz w:val="24"/>
          <w:szCs w:val="24"/>
        </w:rPr>
      </w:pPr>
    </w:p>
    <w:p w14:paraId="647164ED" w14:textId="15AF876B" w:rsidR="000572C2" w:rsidRPr="00326066" w:rsidRDefault="000572C2" w:rsidP="000572C2">
      <w:pPr>
        <w:pStyle w:val="Paragraphedeliste"/>
        <w:numPr>
          <w:ilvl w:val="0"/>
          <w:numId w:val="1"/>
        </w:numPr>
        <w:spacing w:after="0" w:line="240" w:lineRule="auto"/>
        <w:ind w:right="-11"/>
        <w:jc w:val="both"/>
        <w:rPr>
          <w:rFonts w:ascii="Arial" w:hAnsi="Arial" w:cs="Arial"/>
          <w:sz w:val="24"/>
          <w:szCs w:val="24"/>
        </w:rPr>
      </w:pPr>
      <w:r w:rsidRPr="00326066">
        <w:rPr>
          <w:rFonts w:ascii="Arial" w:hAnsi="Arial" w:cs="Arial"/>
          <w:sz w:val="24"/>
          <w:szCs w:val="24"/>
        </w:rPr>
        <w:t xml:space="preserve">Décrire les étapes </w:t>
      </w:r>
      <w:r w:rsidR="00254690" w:rsidRPr="00326066">
        <w:rPr>
          <w:rFonts w:ascii="Arial" w:hAnsi="Arial" w:cs="Arial"/>
          <w:sz w:val="24"/>
          <w:szCs w:val="24"/>
        </w:rPr>
        <w:t xml:space="preserve">du protocole nécessaire pour préparer </w:t>
      </w:r>
      <w:r w:rsidRPr="00326066">
        <w:rPr>
          <w:rFonts w:ascii="Arial" w:hAnsi="Arial" w:cs="Arial"/>
          <w:sz w:val="24"/>
          <w:szCs w:val="24"/>
        </w:rPr>
        <w:t>une solution d’acide chlorhydrique diluée 10 fois à partir d’une solution concentrée</w:t>
      </w:r>
      <w:r w:rsidR="00254690" w:rsidRPr="00326066">
        <w:rPr>
          <w:rFonts w:ascii="Arial" w:hAnsi="Arial" w:cs="Arial"/>
          <w:sz w:val="24"/>
          <w:szCs w:val="24"/>
        </w:rPr>
        <w:t>,</w:t>
      </w:r>
      <w:r w:rsidRPr="00326066">
        <w:rPr>
          <w:rFonts w:ascii="Arial" w:hAnsi="Arial" w:cs="Arial"/>
          <w:sz w:val="24"/>
          <w:szCs w:val="24"/>
        </w:rPr>
        <w:t xml:space="preserve"> en utilisant le matériel disponible dans la salle.</w:t>
      </w:r>
    </w:p>
    <w:p w14:paraId="09EAE16D" w14:textId="77777777" w:rsidR="00B90409" w:rsidRPr="00326066" w:rsidRDefault="00B90409" w:rsidP="00B90409">
      <w:pPr>
        <w:spacing w:after="0" w:line="240" w:lineRule="auto"/>
        <w:ind w:right="-11"/>
        <w:jc w:val="both"/>
        <w:rPr>
          <w:rFonts w:ascii="Arial" w:hAnsi="Arial" w:cs="Arial"/>
          <w:sz w:val="24"/>
          <w:szCs w:val="24"/>
        </w:rPr>
      </w:pPr>
    </w:p>
    <w:p w14:paraId="6D39B36F" w14:textId="179A7C6B" w:rsidR="000572C2" w:rsidRPr="00326066" w:rsidRDefault="000572C2" w:rsidP="000572C2">
      <w:pPr>
        <w:pStyle w:val="western"/>
        <w:spacing w:beforeAutospacing="0" w:after="0" w:line="240" w:lineRule="auto"/>
        <w:ind w:left="720" w:right="-11"/>
        <w:rPr>
          <w:rFonts w:ascii="Arial" w:hAnsi="Arial" w:cs="Arial"/>
          <w:sz w:val="24"/>
          <w:szCs w:val="24"/>
        </w:rPr>
      </w:pPr>
      <w:r w:rsidRPr="00326066">
        <w:rPr>
          <w:rFonts w:ascii="Arial" w:hAnsi="Arial" w:cs="Arial"/>
          <w:i/>
          <w:iCs/>
          <w:sz w:val="24"/>
          <w:szCs w:val="24"/>
        </w:rPr>
        <w:t>En l’absence de matériel, décrire le protocole de dilution en nommant la verrerie utilisée.</w:t>
      </w:r>
    </w:p>
    <w:p w14:paraId="70C84505" w14:textId="61DFA872" w:rsidR="000572C2" w:rsidRPr="00326066" w:rsidRDefault="000572C2" w:rsidP="000572C2">
      <w:pPr>
        <w:pStyle w:val="Titresoulign"/>
        <w:spacing w:before="0" w:after="0"/>
        <w:ind w:right="-11"/>
        <w:rPr>
          <w:rFonts w:cs="Arial"/>
          <w:sz w:val="24"/>
        </w:rPr>
      </w:pPr>
    </w:p>
    <w:p w14:paraId="5C4E0A95" w14:textId="77777777" w:rsidR="00B90409" w:rsidRPr="00326066" w:rsidRDefault="00B90409" w:rsidP="000572C2">
      <w:pPr>
        <w:pStyle w:val="Titresoulign"/>
        <w:spacing w:before="0" w:after="0"/>
        <w:ind w:right="-11"/>
        <w:rPr>
          <w:rFonts w:cs="Arial"/>
          <w:sz w:val="24"/>
        </w:rPr>
      </w:pPr>
    </w:p>
    <w:tbl>
      <w:tblPr>
        <w:tblW w:w="103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3"/>
        <w:gridCol w:w="2430"/>
        <w:gridCol w:w="1262"/>
        <w:gridCol w:w="1843"/>
        <w:gridCol w:w="1275"/>
      </w:tblGrid>
      <w:tr w:rsidR="00326066" w:rsidRPr="00326066" w14:paraId="1C4F9C7B" w14:textId="240D1BC9" w:rsidTr="2DE2E0C6">
        <w:tc>
          <w:tcPr>
            <w:tcW w:w="3543" w:type="dxa"/>
            <w:vMerge w:val="restart"/>
            <w:tcBorders>
              <w:right w:val="single" w:sz="8" w:space="0" w:color="000000" w:themeColor="text1"/>
            </w:tcBorders>
            <w:shd w:val="clear" w:color="auto" w:fill="auto"/>
          </w:tcPr>
          <w:p w14:paraId="4818274A" w14:textId="643538E0" w:rsidR="00326066" w:rsidRPr="00326066" w:rsidRDefault="00326066" w:rsidP="000572C2">
            <w:pPr>
              <w:pStyle w:val="Titresoulign"/>
              <w:spacing w:before="0" w:after="0"/>
              <w:ind w:right="-11"/>
              <w:rPr>
                <w:rFonts w:cs="Arial"/>
                <w:b w:val="0"/>
                <w:bCs/>
                <w:sz w:val="24"/>
              </w:rPr>
            </w:pPr>
            <w:r w:rsidRPr="00326066">
              <w:rPr>
                <w:rFonts w:cs="Arial"/>
                <w:b w:val="0"/>
                <w:bCs/>
                <w:sz w:val="24"/>
              </w:rPr>
              <w:t>Quelques indicateurs colorés :</w:t>
            </w:r>
          </w:p>
          <w:p w14:paraId="68D3C8AE" w14:textId="77777777" w:rsidR="00326066" w:rsidRPr="00326066" w:rsidRDefault="00326066" w:rsidP="000572C2">
            <w:pPr>
              <w:pStyle w:val="Titresoulign"/>
              <w:spacing w:before="0" w:after="0"/>
              <w:ind w:right="-11"/>
              <w:rPr>
                <w:rFonts w:cs="Arial"/>
                <w:b w:val="0"/>
                <w:bCs/>
                <w:sz w:val="24"/>
              </w:rPr>
            </w:pPr>
          </w:p>
          <w:p w14:paraId="35F7C4E9" w14:textId="77777777" w:rsidR="00326066" w:rsidRP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67BDA4" w14:textId="1A291AD9" w:rsidR="00326066" w:rsidRP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bCs/>
                <w:sz w:val="24"/>
                <w:szCs w:val="24"/>
              </w:rPr>
              <w:t>Indicateur coloré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C81C2" w14:textId="521BF1C3" w:rsid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Couleur</w:t>
            </w:r>
          </w:p>
          <w:p w14:paraId="36F49162" w14:textId="20C224E4" w:rsidR="00326066" w:rsidRP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acide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F7798" w14:textId="7379DABB" w:rsid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Zone de </w:t>
            </w:r>
          </w:p>
          <w:p w14:paraId="63E326AD" w14:textId="32891B0C" w:rsidR="00326066" w:rsidRP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326066">
              <w:rPr>
                <w:rFonts w:ascii="Arial" w:hAnsi="Arial" w:cs="Arial"/>
                <w:b/>
                <w:bCs/>
                <w:sz w:val="24"/>
                <w:szCs w:val="24"/>
              </w:rPr>
              <w:t>virage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8D9A3" w14:textId="2FC5D98C" w:rsid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Couleur</w:t>
            </w:r>
          </w:p>
          <w:p w14:paraId="25EFA8EB" w14:textId="15F921C3" w:rsidR="00326066" w:rsidRP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basique</w:t>
            </w:r>
            <w:proofErr w:type="gramEnd"/>
          </w:p>
        </w:tc>
      </w:tr>
      <w:tr w:rsidR="00326066" w:rsidRPr="00326066" w14:paraId="33F53820" w14:textId="762FF7A4" w:rsidTr="2DE2E0C6">
        <w:trPr>
          <w:trHeight w:val="414"/>
        </w:trPr>
        <w:tc>
          <w:tcPr>
            <w:tcW w:w="3543" w:type="dxa"/>
            <w:vMerge/>
          </w:tcPr>
          <w:p w14:paraId="159B6F17" w14:textId="77777777" w:rsidR="00326066" w:rsidRP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2E829" w14:textId="171FEC06" w:rsidR="00326066" w:rsidRP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 xml:space="preserve">Vert de </w:t>
            </w:r>
            <w:proofErr w:type="spellStart"/>
            <w:r w:rsidRPr="00326066">
              <w:rPr>
                <w:rFonts w:ascii="Arial" w:hAnsi="Arial" w:cs="Arial"/>
                <w:sz w:val="24"/>
                <w:szCs w:val="24"/>
              </w:rPr>
              <w:t>bromocrésol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8AE7F" w14:textId="12EB2A8F" w:rsidR="00326066" w:rsidRPr="00326066" w:rsidRDefault="00326066" w:rsidP="00326066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6066">
              <w:rPr>
                <w:rFonts w:ascii="Arial" w:hAnsi="Arial" w:cs="Arial"/>
                <w:sz w:val="24"/>
                <w:szCs w:val="24"/>
              </w:rPr>
              <w:t>jaune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13FB0" w14:textId="62CC5866" w:rsidR="00326066" w:rsidRPr="00326066" w:rsidRDefault="00326066" w:rsidP="00326066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 xml:space="preserve">3,8 &lt; </w:t>
            </w:r>
            <w:r w:rsidRPr="00326066">
              <w:rPr>
                <w:rFonts w:ascii="Arial" w:hAnsi="Arial" w:cs="Arial"/>
                <w:i/>
                <w:sz w:val="24"/>
                <w:szCs w:val="24"/>
              </w:rPr>
              <w:t>pH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 &lt; 5,4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C383B" w14:textId="155831C4" w:rsidR="00326066" w:rsidRPr="00326066" w:rsidRDefault="00326066" w:rsidP="00326066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6066">
              <w:rPr>
                <w:rFonts w:ascii="Arial" w:hAnsi="Arial" w:cs="Arial"/>
                <w:sz w:val="24"/>
                <w:szCs w:val="24"/>
              </w:rPr>
              <w:t>bleu</w:t>
            </w:r>
            <w:proofErr w:type="gramEnd"/>
          </w:p>
        </w:tc>
      </w:tr>
      <w:tr w:rsidR="00326066" w:rsidRPr="00326066" w14:paraId="18459D80" w14:textId="0645E769" w:rsidTr="2DE2E0C6">
        <w:trPr>
          <w:trHeight w:val="406"/>
        </w:trPr>
        <w:tc>
          <w:tcPr>
            <w:tcW w:w="3543" w:type="dxa"/>
            <w:vMerge/>
          </w:tcPr>
          <w:p w14:paraId="5F76CA30" w14:textId="77777777" w:rsidR="00326066" w:rsidRP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700C2" w14:textId="4021AAD3" w:rsidR="00326066" w:rsidRP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 xml:space="preserve">Violet de </w:t>
            </w:r>
            <w:proofErr w:type="spellStart"/>
            <w:r w:rsidRPr="00326066">
              <w:rPr>
                <w:rFonts w:ascii="Arial" w:hAnsi="Arial" w:cs="Arial"/>
                <w:sz w:val="24"/>
                <w:szCs w:val="24"/>
              </w:rPr>
              <w:t>bromocrésol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D5B25" w14:textId="295DEEAF" w:rsidR="00326066" w:rsidRPr="00326066" w:rsidRDefault="00326066" w:rsidP="00326066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6066">
              <w:rPr>
                <w:rFonts w:ascii="Arial" w:hAnsi="Arial" w:cs="Arial"/>
                <w:sz w:val="24"/>
                <w:szCs w:val="24"/>
              </w:rPr>
              <w:t>jaune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50A37" w14:textId="5468354E" w:rsidR="00326066" w:rsidRPr="00326066" w:rsidRDefault="00326066" w:rsidP="00326066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 xml:space="preserve">5,2 &lt; </w:t>
            </w:r>
            <w:r w:rsidRPr="00326066">
              <w:rPr>
                <w:rFonts w:ascii="Arial" w:hAnsi="Arial" w:cs="Arial"/>
                <w:i/>
                <w:sz w:val="24"/>
                <w:szCs w:val="24"/>
              </w:rPr>
              <w:t>pH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 &lt; 6,8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B4E8F" w14:textId="4982CB6F" w:rsidR="00326066" w:rsidRPr="00326066" w:rsidRDefault="00326066" w:rsidP="00326066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6066">
              <w:rPr>
                <w:rFonts w:ascii="Arial" w:hAnsi="Arial" w:cs="Arial"/>
                <w:sz w:val="24"/>
                <w:szCs w:val="24"/>
              </w:rPr>
              <w:t>violet</w:t>
            </w:r>
            <w:proofErr w:type="gramEnd"/>
          </w:p>
        </w:tc>
      </w:tr>
      <w:tr w:rsidR="00326066" w:rsidRPr="00326066" w14:paraId="6A1D800E" w14:textId="0C918C42" w:rsidTr="2DE2E0C6">
        <w:trPr>
          <w:trHeight w:val="426"/>
        </w:trPr>
        <w:tc>
          <w:tcPr>
            <w:tcW w:w="3543" w:type="dxa"/>
            <w:vMerge/>
          </w:tcPr>
          <w:p w14:paraId="483450CB" w14:textId="77777777" w:rsidR="00326066" w:rsidRP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7EFD9" w14:textId="20553672" w:rsidR="00326066" w:rsidRPr="00326066" w:rsidRDefault="00326066" w:rsidP="000572C2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>Bleu de bromothymol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3DEED" w14:textId="5328D622" w:rsidR="00326066" w:rsidRPr="00326066" w:rsidRDefault="00326066" w:rsidP="00326066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6066">
              <w:rPr>
                <w:rFonts w:ascii="Arial" w:hAnsi="Arial" w:cs="Arial"/>
                <w:sz w:val="24"/>
                <w:szCs w:val="24"/>
              </w:rPr>
              <w:t>jaune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92216" w14:textId="3CD1D73D" w:rsidR="00326066" w:rsidRPr="00326066" w:rsidRDefault="00326066" w:rsidP="00326066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 xml:space="preserve">6,0 &lt; </w:t>
            </w:r>
            <w:r w:rsidRPr="00326066">
              <w:rPr>
                <w:rFonts w:ascii="Arial" w:hAnsi="Arial" w:cs="Arial"/>
                <w:i/>
                <w:sz w:val="24"/>
                <w:szCs w:val="24"/>
              </w:rPr>
              <w:t>pH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 &lt; 7,6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E7E51" w14:textId="6A9A79D6" w:rsidR="00326066" w:rsidRPr="00326066" w:rsidRDefault="00326066" w:rsidP="00326066">
            <w:pPr>
              <w:spacing w:after="0" w:line="240" w:lineRule="auto"/>
              <w:ind w:right="-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6066">
              <w:rPr>
                <w:rFonts w:ascii="Arial" w:hAnsi="Arial" w:cs="Arial"/>
                <w:sz w:val="24"/>
                <w:szCs w:val="24"/>
              </w:rPr>
              <w:t>bleu</w:t>
            </w:r>
            <w:proofErr w:type="gramEnd"/>
          </w:p>
        </w:tc>
      </w:tr>
    </w:tbl>
    <w:p w14:paraId="50E431ED" w14:textId="77777777" w:rsidR="000572C2" w:rsidRPr="00326066" w:rsidRDefault="000572C2" w:rsidP="000572C2">
      <w:pPr>
        <w:pStyle w:val="Titresoulign"/>
        <w:spacing w:before="0" w:after="0"/>
        <w:ind w:right="-11"/>
        <w:rPr>
          <w:rFonts w:cs="Arial"/>
          <w:sz w:val="24"/>
        </w:rPr>
      </w:pPr>
    </w:p>
    <w:p w14:paraId="04F08017" w14:textId="21C667E2" w:rsidR="008724D6" w:rsidRPr="00326066" w:rsidRDefault="00AA5180" w:rsidP="002C78FB">
      <w:pPr>
        <w:pStyle w:val="Paragraphedeliste"/>
        <w:numPr>
          <w:ilvl w:val="0"/>
          <w:numId w:val="1"/>
        </w:numPr>
        <w:spacing w:after="0" w:line="240" w:lineRule="auto"/>
        <w:ind w:right="-11"/>
        <w:jc w:val="both"/>
        <w:rPr>
          <w:rFonts w:ascii="Arial" w:hAnsi="Arial" w:cs="Arial"/>
          <w:sz w:val="24"/>
          <w:szCs w:val="24"/>
        </w:rPr>
      </w:pPr>
      <w:r w:rsidRPr="00326066">
        <w:rPr>
          <w:rFonts w:ascii="Arial" w:hAnsi="Arial" w:cs="Arial"/>
          <w:sz w:val="24"/>
          <w:szCs w:val="24"/>
        </w:rPr>
        <w:t xml:space="preserve">Écrire l’équation de réaction du titrage </w:t>
      </w:r>
      <w:r w:rsidR="00254690" w:rsidRPr="00326066">
        <w:rPr>
          <w:rFonts w:ascii="Arial" w:hAnsi="Arial" w:cs="Arial"/>
          <w:sz w:val="24"/>
          <w:szCs w:val="24"/>
        </w:rPr>
        <w:t xml:space="preserve">en solution aqueuse </w:t>
      </w:r>
      <w:r w:rsidRPr="00326066">
        <w:rPr>
          <w:rFonts w:ascii="Arial" w:hAnsi="Arial" w:cs="Arial"/>
          <w:sz w:val="24"/>
          <w:szCs w:val="24"/>
        </w:rPr>
        <w:t>de l’ion hydrogénocarbonate par l’acide chlorhydrique.</w:t>
      </w:r>
    </w:p>
    <w:p w14:paraId="02B9442D" w14:textId="77777777" w:rsidR="003F51D7" w:rsidRPr="00326066" w:rsidRDefault="003F51D7" w:rsidP="003F51D7">
      <w:pPr>
        <w:pStyle w:val="Paragraphedeliste"/>
        <w:spacing w:after="0" w:line="240" w:lineRule="auto"/>
        <w:ind w:right="-11"/>
        <w:jc w:val="both"/>
        <w:rPr>
          <w:rFonts w:ascii="Arial" w:hAnsi="Arial" w:cs="Arial"/>
          <w:sz w:val="24"/>
          <w:szCs w:val="24"/>
        </w:rPr>
      </w:pPr>
    </w:p>
    <w:p w14:paraId="196EB68C" w14:textId="696302BD" w:rsidR="008724D6" w:rsidRPr="00326066" w:rsidRDefault="00AA5180" w:rsidP="002C78F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066">
        <w:rPr>
          <w:rFonts w:ascii="Arial" w:hAnsi="Arial" w:cs="Arial"/>
          <w:sz w:val="24"/>
          <w:szCs w:val="24"/>
        </w:rPr>
        <w:t xml:space="preserve">La valeur du </w:t>
      </w:r>
      <w:r w:rsidRPr="00326066">
        <w:rPr>
          <w:rFonts w:ascii="Arial" w:hAnsi="Arial" w:cs="Arial"/>
          <w:iCs/>
          <w:sz w:val="24"/>
          <w:szCs w:val="24"/>
        </w:rPr>
        <w:t xml:space="preserve">pH </w:t>
      </w:r>
      <w:r w:rsidRPr="00326066">
        <w:rPr>
          <w:rFonts w:ascii="Arial" w:hAnsi="Arial" w:cs="Arial"/>
          <w:sz w:val="24"/>
          <w:szCs w:val="24"/>
        </w:rPr>
        <w:t xml:space="preserve">à l’équivalence est 4,6. </w:t>
      </w:r>
      <w:r w:rsidR="000E1D09" w:rsidRPr="00326066">
        <w:rPr>
          <w:rFonts w:ascii="Arial" w:hAnsi="Arial" w:cs="Arial"/>
          <w:sz w:val="24"/>
          <w:szCs w:val="24"/>
        </w:rPr>
        <w:t>Identifier l’</w:t>
      </w:r>
      <w:r w:rsidRPr="00326066">
        <w:rPr>
          <w:rFonts w:ascii="Arial" w:hAnsi="Arial" w:cs="Arial"/>
          <w:sz w:val="24"/>
          <w:szCs w:val="24"/>
        </w:rPr>
        <w:t xml:space="preserve">indicateur coloré </w:t>
      </w:r>
      <w:r w:rsidR="000E1D09" w:rsidRPr="00326066">
        <w:rPr>
          <w:rFonts w:ascii="Arial" w:hAnsi="Arial" w:cs="Arial"/>
          <w:sz w:val="24"/>
          <w:szCs w:val="24"/>
        </w:rPr>
        <w:t xml:space="preserve">qui </w:t>
      </w:r>
      <w:r w:rsidRPr="00326066">
        <w:rPr>
          <w:rFonts w:ascii="Arial" w:hAnsi="Arial" w:cs="Arial"/>
          <w:sz w:val="24"/>
          <w:szCs w:val="24"/>
        </w:rPr>
        <w:t>peut être utilisé pour effectuer ce titrage</w:t>
      </w:r>
      <w:r w:rsidR="000E1D09" w:rsidRPr="00326066">
        <w:rPr>
          <w:rFonts w:ascii="Arial" w:hAnsi="Arial" w:cs="Arial"/>
          <w:sz w:val="24"/>
          <w:szCs w:val="24"/>
        </w:rPr>
        <w:t>.</w:t>
      </w:r>
      <w:r w:rsidRPr="00326066">
        <w:rPr>
          <w:rFonts w:ascii="Arial" w:hAnsi="Arial" w:cs="Arial"/>
          <w:sz w:val="24"/>
          <w:szCs w:val="24"/>
        </w:rPr>
        <w:t xml:space="preserve"> Justifier.</w:t>
      </w:r>
    </w:p>
    <w:p w14:paraId="79960DDE" w14:textId="076B4BAA" w:rsidR="002C7F24" w:rsidRPr="00326066" w:rsidRDefault="002C7F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066">
        <w:rPr>
          <w:rFonts w:ascii="Arial" w:hAnsi="Arial" w:cs="Arial"/>
          <w:sz w:val="24"/>
          <w:szCs w:val="24"/>
        </w:rPr>
        <w:br w:type="page"/>
      </w:r>
    </w:p>
    <w:tbl>
      <w:tblPr>
        <w:tblW w:w="10311" w:type="dxa"/>
        <w:tblInd w:w="-1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000000" w:themeFill="text1"/>
        <w:tblLayout w:type="fixed"/>
        <w:tblLook w:val="0400" w:firstRow="0" w:lastRow="0" w:firstColumn="0" w:lastColumn="0" w:noHBand="0" w:noVBand="1"/>
      </w:tblPr>
      <w:tblGrid>
        <w:gridCol w:w="8757"/>
        <w:gridCol w:w="1554"/>
      </w:tblGrid>
      <w:tr w:rsidR="00E51179" w:rsidRPr="00326066" w14:paraId="5629DF75" w14:textId="77777777" w:rsidTr="002C7F24">
        <w:trPr>
          <w:trHeight w:val="484"/>
        </w:trPr>
        <w:tc>
          <w:tcPr>
            <w:tcW w:w="8757" w:type="dxa"/>
            <w:shd w:val="clear" w:color="auto" w:fill="000000" w:themeFill="text1"/>
            <w:vAlign w:val="center"/>
          </w:tcPr>
          <w:p w14:paraId="516C17CD" w14:textId="1BFD0B67" w:rsidR="00E51179" w:rsidRPr="00326066" w:rsidRDefault="003F51D7" w:rsidP="000572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sz w:val="24"/>
                <w:szCs w:val="24"/>
              </w:rPr>
              <w:lastRenderedPageBreak/>
              <w:t>Exercice</w:t>
            </w:r>
            <w:r w:rsidR="00E51179" w:rsidRPr="00326066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32606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E51179" w:rsidRPr="00326066">
              <w:rPr>
                <w:rFonts w:ascii="Arial" w:hAnsi="Arial" w:cs="Arial"/>
                <w:b/>
                <w:sz w:val="24"/>
                <w:szCs w:val="24"/>
              </w:rPr>
              <w:t>Orbites géostationnaires</w:t>
            </w:r>
          </w:p>
        </w:tc>
        <w:tc>
          <w:tcPr>
            <w:tcW w:w="1554" w:type="dxa"/>
            <w:shd w:val="clear" w:color="auto" w:fill="000000" w:themeFill="text1"/>
            <w:vAlign w:val="center"/>
          </w:tcPr>
          <w:p w14:paraId="3AD9F21C" w14:textId="3A6E132C" w:rsidR="00E51179" w:rsidRPr="00326066" w:rsidRDefault="00E51179" w:rsidP="000572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sz w:val="24"/>
                <w:szCs w:val="24"/>
              </w:rPr>
              <w:t>PHYSIQUE</w:t>
            </w:r>
          </w:p>
        </w:tc>
      </w:tr>
    </w:tbl>
    <w:p w14:paraId="0202E99B" w14:textId="77777777" w:rsidR="002C78FB" w:rsidRPr="00326066" w:rsidRDefault="002C78FB" w:rsidP="000572C2">
      <w:pPr>
        <w:pStyle w:val="Titresoulign"/>
        <w:spacing w:before="0" w:after="0"/>
        <w:rPr>
          <w:rFonts w:cs="Arial"/>
          <w:b w:val="0"/>
          <w:sz w:val="24"/>
          <w:u w:val="none"/>
        </w:rPr>
      </w:pPr>
    </w:p>
    <w:p w14:paraId="71DE1EC3" w14:textId="09D6257C" w:rsidR="008724D6" w:rsidRPr="00326066" w:rsidRDefault="00295431" w:rsidP="000572C2">
      <w:pPr>
        <w:pStyle w:val="Titresoulign"/>
        <w:spacing w:before="0" w:after="0"/>
        <w:rPr>
          <w:rFonts w:cs="Arial"/>
          <w:b w:val="0"/>
          <w:sz w:val="24"/>
          <w:u w:val="none"/>
        </w:rPr>
      </w:pPr>
      <w:r w:rsidRPr="00326066">
        <w:rPr>
          <w:rFonts w:cs="Arial"/>
          <w:b w:val="0"/>
          <w:sz w:val="24"/>
          <w:u w:val="none"/>
        </w:rPr>
        <w:t>Le Plan France Très Haut Débit (THD) vise à donner accès au très haut débit à tous les foyers français en combinant la fibre optique et des satellites plus performants pour couvrir les zones difficiles d'accès. Un satellite THD-</w:t>
      </w:r>
      <w:proofErr w:type="spellStart"/>
      <w:r w:rsidRPr="00326066">
        <w:rPr>
          <w:rFonts w:cs="Arial"/>
          <w:b w:val="0"/>
          <w:sz w:val="24"/>
          <w:u w:val="none"/>
        </w:rPr>
        <w:t>Sat</w:t>
      </w:r>
      <w:proofErr w:type="spellEnd"/>
      <w:r w:rsidRPr="00326066">
        <w:rPr>
          <w:rFonts w:cs="Arial"/>
          <w:b w:val="0"/>
          <w:sz w:val="24"/>
          <w:u w:val="none"/>
        </w:rPr>
        <w:t>, en orbite à 36 000 km du sol terrestre, offrira sur un territoire de la taille de la France vingt fois plus de capacité que les satellites actuels.</w:t>
      </w:r>
    </w:p>
    <w:p w14:paraId="714F04E4" w14:textId="6EBF003B" w:rsidR="008724D6" w:rsidRPr="00326066" w:rsidRDefault="00295431" w:rsidP="00295431">
      <w:pPr>
        <w:pStyle w:val="Titresoulign"/>
        <w:spacing w:before="0" w:after="0"/>
        <w:ind w:left="720"/>
        <w:jc w:val="right"/>
        <w:rPr>
          <w:rFonts w:cs="Arial"/>
          <w:b w:val="0"/>
          <w:iCs/>
          <w:sz w:val="24"/>
        </w:rPr>
      </w:pPr>
      <w:r w:rsidRPr="00326066">
        <w:rPr>
          <w:rFonts w:cs="Arial"/>
          <w:b w:val="0"/>
          <w:iCs/>
          <w:sz w:val="24"/>
          <w:u w:val="none"/>
        </w:rPr>
        <w:t xml:space="preserve">Source :  </w:t>
      </w:r>
      <w:hyperlink r:id="rId9">
        <w:r w:rsidR="008724D6" w:rsidRPr="00326066">
          <w:rPr>
            <w:rFonts w:cs="Arial"/>
            <w:b w:val="0"/>
            <w:iCs/>
            <w:sz w:val="24"/>
          </w:rPr>
          <w:t>https://cnes.fr/fr/web/CNES-fr/</w:t>
        </w:r>
      </w:hyperlink>
    </w:p>
    <w:p w14:paraId="35C6A7CF" w14:textId="77777777" w:rsidR="008724D6" w:rsidRPr="00326066" w:rsidRDefault="008724D6" w:rsidP="0032606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5008" w:type="pct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24"/>
        <w:gridCol w:w="4677"/>
      </w:tblGrid>
      <w:tr w:rsidR="002C7F24" w:rsidRPr="00326066" w14:paraId="357DB980" w14:textId="69976054" w:rsidTr="00DF637F">
        <w:trPr>
          <w:trHeight w:val="24"/>
        </w:trPr>
        <w:tc>
          <w:tcPr>
            <w:tcW w:w="10201" w:type="dxa"/>
            <w:gridSpan w:val="2"/>
          </w:tcPr>
          <w:p w14:paraId="525F5145" w14:textId="3627987F" w:rsidR="002C7F24" w:rsidRPr="00326066" w:rsidRDefault="002C7F24" w:rsidP="009C78B5">
            <w:pPr>
              <w:pStyle w:val="Titresoulign"/>
              <w:spacing w:before="0" w:after="0"/>
              <w:jc w:val="left"/>
              <w:rPr>
                <w:rFonts w:cs="Arial"/>
                <w:sz w:val="24"/>
                <w:u w:val="none"/>
              </w:rPr>
            </w:pPr>
            <w:r w:rsidRPr="00326066">
              <w:rPr>
                <w:rFonts w:cs="Arial"/>
                <w:sz w:val="24"/>
                <w:u w:val="none"/>
              </w:rPr>
              <w:t xml:space="preserve">Document 1. Orbite géostationnaire </w:t>
            </w:r>
          </w:p>
          <w:p w14:paraId="1798ABB6" w14:textId="77777777" w:rsidR="002C7F24" w:rsidRPr="00326066" w:rsidRDefault="002C7F24" w:rsidP="009C78B5">
            <w:pPr>
              <w:pStyle w:val="Titresoulign"/>
              <w:spacing w:before="0" w:after="0"/>
              <w:jc w:val="left"/>
              <w:rPr>
                <w:rFonts w:cs="Arial"/>
                <w:sz w:val="24"/>
                <w:u w:val="none"/>
              </w:rPr>
            </w:pPr>
          </w:p>
          <w:p w14:paraId="6F575BF7" w14:textId="2DBD9A03" w:rsidR="002C7F24" w:rsidRPr="00326066" w:rsidRDefault="002C7F24" w:rsidP="00B90409">
            <w:pPr>
              <w:pStyle w:val="Titresoulign"/>
              <w:spacing w:before="0" w:after="0"/>
              <w:rPr>
                <w:rFonts w:cs="Arial"/>
                <w:sz w:val="24"/>
              </w:rPr>
            </w:pPr>
            <w:r w:rsidRPr="00326066">
              <w:rPr>
                <w:rFonts w:cs="Arial"/>
                <w:b w:val="0"/>
                <w:sz w:val="24"/>
                <w:u w:val="none"/>
              </w:rPr>
              <w:t>L’orbite géostationnaire s'inscrit dans le plan équatorial de la Terre. Un corps en mouvement sur cette orbite possède dans le référentiel géocentrique une période de révolution très exactement égale à la période de rotation de la Terre sur elle-même (23 heures 56 minutes et 4 secondes soit 86 164 s). Il est donc immobile par rapport à tout point de la Terre.</w:t>
            </w:r>
          </w:p>
        </w:tc>
      </w:tr>
      <w:tr w:rsidR="009C78B5" w:rsidRPr="00326066" w14:paraId="1EE7BA09" w14:textId="37E154AE" w:rsidTr="002C7F24">
        <w:tc>
          <w:tcPr>
            <w:tcW w:w="5524" w:type="dxa"/>
          </w:tcPr>
          <w:p w14:paraId="6125A7B3" w14:textId="42F6E8CC" w:rsidR="009C78B5" w:rsidRPr="00326066" w:rsidRDefault="009C78B5" w:rsidP="009C78B5">
            <w:pPr>
              <w:pStyle w:val="Titresoulign"/>
              <w:spacing w:before="0" w:after="0"/>
              <w:jc w:val="left"/>
              <w:rPr>
                <w:rFonts w:cs="Arial"/>
                <w:sz w:val="24"/>
                <w:u w:val="none"/>
              </w:rPr>
            </w:pPr>
            <w:r w:rsidRPr="00326066">
              <w:rPr>
                <w:rFonts w:cs="Arial"/>
                <w:sz w:val="24"/>
                <w:u w:val="none"/>
              </w:rPr>
              <w:t xml:space="preserve">Document 2. </w:t>
            </w:r>
            <w:r w:rsidR="00571CCF">
              <w:rPr>
                <w:rFonts w:cs="Arial"/>
                <w:sz w:val="24"/>
                <w:u w:val="none"/>
              </w:rPr>
              <w:t>Troisième</w:t>
            </w:r>
            <w:r w:rsidRPr="00326066">
              <w:rPr>
                <w:rFonts w:cs="Arial"/>
                <w:sz w:val="24"/>
                <w:u w:val="none"/>
              </w:rPr>
              <w:t xml:space="preserve"> loi de Kepler </w:t>
            </w:r>
          </w:p>
          <w:p w14:paraId="11825AC5" w14:textId="77777777" w:rsidR="00B90409" w:rsidRPr="00326066" w:rsidRDefault="00B90409" w:rsidP="009C78B5">
            <w:pPr>
              <w:pStyle w:val="Titresoulign"/>
              <w:spacing w:before="0" w:after="0"/>
              <w:jc w:val="left"/>
              <w:rPr>
                <w:rFonts w:cs="Arial"/>
                <w:sz w:val="24"/>
                <w:u w:val="none"/>
              </w:rPr>
            </w:pPr>
          </w:p>
          <w:p w14:paraId="5729EAC7" w14:textId="77777777" w:rsidR="00B90409" w:rsidRPr="00326066" w:rsidRDefault="009C78B5" w:rsidP="009C78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>La 3</w:t>
            </w:r>
            <w:r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 loi de Kepler indique que le carré de la période de révolution </w:t>
            </w:r>
            <w:r w:rsidRPr="00326066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 d’un objet est proportionnel au cube du demi-grand axe </w:t>
            </w:r>
            <w:r w:rsidRPr="00326066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 de la trajectoire elliptique de l’objet autour de l’astre considéré. </w:t>
            </w:r>
          </w:p>
          <w:p w14:paraId="186C539A" w14:textId="77777777" w:rsidR="0032119B" w:rsidRDefault="009C78B5" w:rsidP="009C78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 xml:space="preserve">Ici, nous avons :  </w:t>
            </w:r>
          </w:p>
          <w:p w14:paraId="5EF386B7" w14:textId="495F847D" w:rsidR="0032119B" w:rsidRDefault="000011F4" w:rsidP="0032119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Cs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lit/>
                    <m:nor/>
                  </m:rPr>
                  <w:rPr>
                    <w:rFonts w:ascii="Arial" w:hAnsi="Arial" w:cs="Arial"/>
                    <w:iCs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Arial" w:hAnsi="Arial" w:cs="Arial"/>
                        <w:iCs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="Arial"/>
                            <w:iCs/>
                            <w:sz w:val="24"/>
                            <w:szCs w:val="24"/>
                          </w:rPr>
                          <m:t>π</m:t>
                        </m:r>
                        <m:r>
                          <m:rPr>
                            <m:nor/>
                          </m:rPr>
                          <w:rPr>
                            <w:rFonts w:ascii="Cambria Math" w:hAnsi="Arial" w:cs="Arial"/>
                            <w:iCs/>
                            <w:sz w:val="24"/>
                            <w:szCs w:val="24"/>
                          </w:rPr>
                          <m:t xml:space="preserve"> 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Cs/>
                        <w:sz w:val="24"/>
                        <w:szCs w:val="24"/>
                      </w:rPr>
                      <m:t>G</m:t>
                    </m:r>
                    <m:r>
                      <m:rPr>
                        <m:nor/>
                      </m:rPr>
                      <w:rPr>
                        <w:rFonts w:ascii="Cambria Math" w:hAnsi="Arial" w:cs="Arial"/>
                        <w:iCs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iCs/>
                        <w:sz w:val="24"/>
                        <w:szCs w:val="24"/>
                      </w:rPr>
                      <m:t>×</m:t>
                    </m:r>
                    <m:r>
                      <m:rPr>
                        <m:nor/>
                      </m:rPr>
                      <w:rPr>
                        <w:rFonts w:ascii="Cambria Math" w:hAnsi="Arial" w:cs="Arial"/>
                        <w:iCs/>
                        <w:sz w:val="24"/>
                        <w:szCs w:val="24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Arial" w:hAnsi="Arial" w:cs="Arial"/>
                    <w:sz w:val="24"/>
                    <w:szCs w:val="24"/>
                  </w:rPr>
                  <w:br/>
                </m:r>
              </m:oMath>
            </m:oMathPara>
          </w:p>
          <w:p w14:paraId="0C331636" w14:textId="476092FB" w:rsidR="009C78B5" w:rsidRPr="00326066" w:rsidRDefault="009C78B5" w:rsidP="003211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iCs/>
                <w:sz w:val="24"/>
                <w:szCs w:val="24"/>
              </w:rPr>
              <w:t>M</w:t>
            </w:r>
            <w:r w:rsidRPr="00326066">
              <w:rPr>
                <w:rFonts w:ascii="Arial" w:hAnsi="Arial" w:cs="Arial"/>
                <w:iCs/>
                <w:sz w:val="24"/>
                <w:szCs w:val="24"/>
                <w:vertAlign w:val="subscript"/>
              </w:rPr>
              <w:t>T</w:t>
            </w:r>
            <w:r w:rsidRPr="0032606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326066">
              <w:rPr>
                <w:rFonts w:ascii="Arial" w:hAnsi="Arial" w:cs="Arial"/>
                <w:sz w:val="24"/>
                <w:szCs w:val="24"/>
              </w:rPr>
              <w:t>désignant la masse de la Terre.</w:t>
            </w:r>
          </w:p>
        </w:tc>
        <w:tc>
          <w:tcPr>
            <w:tcW w:w="4677" w:type="dxa"/>
          </w:tcPr>
          <w:p w14:paraId="2A47F60A" w14:textId="7C15D2FA" w:rsidR="002C7F24" w:rsidRPr="00326066" w:rsidRDefault="002C7F24" w:rsidP="002C7F24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26066">
              <w:rPr>
                <w:rFonts w:ascii="Arial" w:hAnsi="Arial" w:cs="Arial"/>
                <w:b/>
                <w:iCs/>
                <w:sz w:val="24"/>
                <w:szCs w:val="24"/>
              </w:rPr>
              <w:t>Données </w:t>
            </w:r>
          </w:p>
          <w:p w14:paraId="25B69695" w14:textId="77777777" w:rsidR="002C7F24" w:rsidRPr="00326066" w:rsidRDefault="002C7F24" w:rsidP="002C7F24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68BB8767" w14:textId="77777777" w:rsidR="002C7F24" w:rsidRPr="00326066" w:rsidRDefault="002C7F24" w:rsidP="0032119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15" w:hanging="284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 xml:space="preserve">Masse de la Terre : </w:t>
            </w:r>
            <w:r w:rsidRPr="00326066">
              <w:rPr>
                <w:rFonts w:ascii="Arial" w:hAnsi="Arial" w:cs="Arial"/>
                <w:iCs/>
                <w:sz w:val="24"/>
                <w:szCs w:val="24"/>
              </w:rPr>
              <w:t>M</w:t>
            </w:r>
            <w:r w:rsidRPr="00326066">
              <w:rPr>
                <w:rFonts w:ascii="Arial" w:hAnsi="Arial" w:cs="Arial"/>
                <w:iCs/>
                <w:sz w:val="24"/>
                <w:szCs w:val="24"/>
                <w:vertAlign w:val="subscript"/>
              </w:rPr>
              <w:t>T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 = 6,0 × 10</w:t>
            </w:r>
            <w:r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 kg</w:t>
            </w:r>
          </w:p>
          <w:p w14:paraId="7D4659E0" w14:textId="77777777" w:rsidR="002C7F24" w:rsidRPr="00326066" w:rsidRDefault="002C7F24" w:rsidP="0032119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15" w:hanging="284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 xml:space="preserve">Rayon de la Terre : </w:t>
            </w:r>
            <w:r w:rsidRPr="00326066">
              <w:rPr>
                <w:rFonts w:ascii="Arial" w:hAnsi="Arial" w:cs="Arial"/>
                <w:iCs/>
                <w:sz w:val="24"/>
                <w:szCs w:val="24"/>
              </w:rPr>
              <w:t>R</w:t>
            </w:r>
            <w:r w:rsidRPr="00326066">
              <w:rPr>
                <w:rFonts w:ascii="Arial" w:hAnsi="Arial" w:cs="Arial"/>
                <w:iCs/>
                <w:sz w:val="24"/>
                <w:szCs w:val="24"/>
                <w:vertAlign w:val="subscript"/>
              </w:rPr>
              <w:t>T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 = 6378 km</w:t>
            </w:r>
          </w:p>
          <w:p w14:paraId="0EF2CFF4" w14:textId="77777777" w:rsidR="002C7F24" w:rsidRPr="00326066" w:rsidRDefault="002C7F24" w:rsidP="0032119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15" w:hanging="284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sz w:val="24"/>
                <w:szCs w:val="24"/>
              </w:rPr>
              <w:t xml:space="preserve">Constante de gravitation universelle : </w:t>
            </w:r>
          </w:p>
          <w:p w14:paraId="5A7A5613" w14:textId="14207492" w:rsidR="009C78B5" w:rsidRPr="00326066" w:rsidRDefault="002C7F24" w:rsidP="0032119B">
            <w:pPr>
              <w:spacing w:after="0" w:line="240" w:lineRule="auto"/>
              <w:ind w:left="315" w:hanging="284"/>
              <w:rPr>
                <w:rFonts w:ascii="Arial" w:hAnsi="Arial" w:cs="Arial"/>
                <w:sz w:val="24"/>
                <w:szCs w:val="24"/>
              </w:rPr>
            </w:pPr>
            <w:r w:rsidRPr="00326066">
              <w:rPr>
                <w:rFonts w:ascii="Arial" w:hAnsi="Arial" w:cs="Arial"/>
                <w:iCs/>
                <w:sz w:val="24"/>
                <w:szCs w:val="24"/>
              </w:rPr>
              <w:tab/>
              <w:t>G</w:t>
            </w:r>
            <w:r w:rsidRPr="00326066">
              <w:rPr>
                <w:rFonts w:ascii="Arial" w:hAnsi="Arial" w:cs="Arial"/>
                <w:sz w:val="24"/>
                <w:szCs w:val="24"/>
              </w:rPr>
              <w:t xml:space="preserve"> = 6,67 × 10</w:t>
            </w:r>
            <w:r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>–11</w:t>
            </w:r>
            <w:r w:rsidRPr="00326066">
              <w:rPr>
                <w:rFonts w:ascii="Arial" w:hAnsi="Arial" w:cs="Arial"/>
                <w:sz w:val="24"/>
                <w:szCs w:val="24"/>
              </w:rPr>
              <w:t> m</w:t>
            </w:r>
            <w:r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326066">
              <w:rPr>
                <w:rFonts w:ascii="Arial" w:hAnsi="Arial" w:cs="Arial"/>
                <w:sz w:val="24"/>
                <w:szCs w:val="24"/>
              </w:rPr>
              <w:t>.kg</w:t>
            </w:r>
            <w:r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>–</w:t>
            </w:r>
            <w:proofErr w:type="gramStart"/>
            <w:r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326066">
              <w:rPr>
                <w:rFonts w:ascii="Arial" w:hAnsi="Arial" w:cs="Arial"/>
                <w:sz w:val="24"/>
                <w:szCs w:val="24"/>
              </w:rPr>
              <w:t>.s</w:t>
            </w:r>
            <w:proofErr w:type="gramEnd"/>
            <w:r w:rsidRPr="00326066">
              <w:rPr>
                <w:rFonts w:ascii="Arial" w:hAnsi="Arial" w:cs="Arial"/>
                <w:sz w:val="24"/>
                <w:szCs w:val="24"/>
                <w:vertAlign w:val="superscript"/>
              </w:rPr>
              <w:t>–2</w:t>
            </w:r>
          </w:p>
        </w:tc>
      </w:tr>
    </w:tbl>
    <w:p w14:paraId="3AD8A963" w14:textId="77777777" w:rsidR="008724D6" w:rsidRPr="00326066" w:rsidRDefault="008724D6" w:rsidP="000572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2F0A1F" w14:textId="2A32ECBC" w:rsidR="008724D6" w:rsidRPr="00326066" w:rsidRDefault="00AA5180" w:rsidP="009C78B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6066">
        <w:rPr>
          <w:rFonts w:ascii="Arial" w:hAnsi="Arial" w:cs="Arial"/>
          <w:sz w:val="24"/>
          <w:szCs w:val="24"/>
        </w:rPr>
        <w:t>Etablir le bilan des forces exercées sur ce satellite dans le référentiel géocentrique</w:t>
      </w:r>
      <w:r w:rsidR="009C78B5" w:rsidRPr="00326066">
        <w:rPr>
          <w:rFonts w:ascii="Arial" w:hAnsi="Arial" w:cs="Arial"/>
          <w:sz w:val="24"/>
          <w:szCs w:val="24"/>
        </w:rPr>
        <w:t xml:space="preserve"> et écrire la 2</w:t>
      </w:r>
      <w:r w:rsidR="009C78B5" w:rsidRPr="00326066">
        <w:rPr>
          <w:rFonts w:ascii="Arial" w:hAnsi="Arial" w:cs="Arial"/>
          <w:sz w:val="24"/>
          <w:szCs w:val="24"/>
          <w:vertAlign w:val="superscript"/>
        </w:rPr>
        <w:t>e</w:t>
      </w:r>
      <w:r w:rsidR="009C78B5" w:rsidRPr="00326066">
        <w:rPr>
          <w:rFonts w:ascii="Arial" w:hAnsi="Arial" w:cs="Arial"/>
          <w:sz w:val="24"/>
          <w:szCs w:val="24"/>
        </w:rPr>
        <w:t xml:space="preserve"> loi de Newton appliquée au satellite.</w:t>
      </w:r>
    </w:p>
    <w:p w14:paraId="0CFC4490" w14:textId="77777777" w:rsidR="009C78B5" w:rsidRPr="00326066" w:rsidRDefault="009C78B5" w:rsidP="009C78B5">
      <w:pPr>
        <w:pStyle w:val="Paragraphedeliste"/>
        <w:spacing w:after="0" w:line="240" w:lineRule="auto"/>
        <w:rPr>
          <w:rFonts w:ascii="Arial" w:hAnsi="Arial" w:cs="Arial"/>
          <w:sz w:val="24"/>
          <w:szCs w:val="24"/>
        </w:rPr>
      </w:pPr>
    </w:p>
    <w:p w14:paraId="7A064C8A" w14:textId="5B02B189" w:rsidR="008724D6" w:rsidRPr="00326066" w:rsidRDefault="002E62EB" w:rsidP="000572C2">
      <w:pPr>
        <w:pStyle w:val="Titresoulign"/>
        <w:numPr>
          <w:ilvl w:val="0"/>
          <w:numId w:val="2"/>
        </w:numPr>
        <w:spacing w:before="0" w:after="0"/>
        <w:rPr>
          <w:rFonts w:eastAsia="Times New Roman" w:cs="Arial"/>
          <w:b w:val="0"/>
          <w:sz w:val="24"/>
          <w:u w:val="none"/>
        </w:rPr>
      </w:pPr>
      <w:r w:rsidRPr="00326066">
        <w:rPr>
          <w:rFonts w:eastAsia="Times New Roman" w:cs="Arial"/>
          <w:b w:val="0"/>
          <w:sz w:val="24"/>
          <w:u w:val="none"/>
        </w:rPr>
        <w:t xml:space="preserve">Expliquer si la masse d’un satellite </w:t>
      </w:r>
      <w:r w:rsidR="00326066">
        <w:rPr>
          <w:rFonts w:eastAsia="Times New Roman" w:cs="Arial"/>
          <w:b w:val="0"/>
          <w:sz w:val="24"/>
          <w:u w:val="none"/>
        </w:rPr>
        <w:t>a</w:t>
      </w:r>
      <w:r w:rsidR="00B90409" w:rsidRPr="00326066">
        <w:rPr>
          <w:rFonts w:eastAsia="Times New Roman" w:cs="Arial"/>
          <w:b w:val="0"/>
          <w:sz w:val="24"/>
          <w:u w:val="none"/>
        </w:rPr>
        <w:t xml:space="preserve"> </w:t>
      </w:r>
      <w:r w:rsidRPr="00326066">
        <w:rPr>
          <w:rFonts w:eastAsia="Times New Roman" w:cs="Arial"/>
          <w:b w:val="0"/>
          <w:sz w:val="24"/>
          <w:u w:val="none"/>
        </w:rPr>
        <w:t>une influence sur sa période de révolution.</w:t>
      </w:r>
    </w:p>
    <w:p w14:paraId="4190E1F1" w14:textId="77777777" w:rsidR="009C78B5" w:rsidRPr="00326066" w:rsidRDefault="009C78B5" w:rsidP="009C78B5">
      <w:pPr>
        <w:pStyle w:val="Titresoulign"/>
        <w:spacing w:before="0" w:after="0"/>
        <w:ind w:left="360"/>
        <w:rPr>
          <w:rFonts w:eastAsia="Times New Roman" w:cs="Arial"/>
          <w:b w:val="0"/>
          <w:sz w:val="24"/>
          <w:u w:val="none"/>
        </w:rPr>
      </w:pPr>
    </w:p>
    <w:p w14:paraId="0EFB7461" w14:textId="35C47C50" w:rsidR="008724D6" w:rsidRPr="00326066" w:rsidRDefault="00AA5180" w:rsidP="009C78B5">
      <w:pPr>
        <w:pStyle w:val="Titresoulign"/>
        <w:numPr>
          <w:ilvl w:val="0"/>
          <w:numId w:val="2"/>
        </w:numPr>
        <w:spacing w:before="0" w:after="0"/>
        <w:rPr>
          <w:rFonts w:cs="Arial"/>
          <w:sz w:val="24"/>
          <w:u w:val="none"/>
        </w:rPr>
      </w:pPr>
      <w:r w:rsidRPr="00326066">
        <w:rPr>
          <w:rFonts w:cs="Arial"/>
          <w:b w:val="0"/>
          <w:bCs/>
          <w:sz w:val="24"/>
          <w:u w:val="none"/>
        </w:rPr>
        <w:t>Montrer qu’un satellite THD-</w:t>
      </w:r>
      <w:proofErr w:type="spellStart"/>
      <w:r w:rsidRPr="00326066">
        <w:rPr>
          <w:rFonts w:cs="Arial"/>
          <w:b w:val="0"/>
          <w:bCs/>
          <w:sz w:val="24"/>
          <w:u w:val="none"/>
        </w:rPr>
        <w:t>Sat</w:t>
      </w:r>
      <w:proofErr w:type="spellEnd"/>
      <w:r w:rsidRPr="00326066">
        <w:rPr>
          <w:rFonts w:cs="Arial"/>
          <w:b w:val="0"/>
          <w:bCs/>
          <w:sz w:val="24"/>
          <w:u w:val="none"/>
        </w:rPr>
        <w:t xml:space="preserve"> est géostationnaire.</w:t>
      </w:r>
    </w:p>
    <w:p w14:paraId="4DE1CC46" w14:textId="77777777" w:rsidR="00B90409" w:rsidRPr="00326066" w:rsidRDefault="00B90409" w:rsidP="00B90409">
      <w:pPr>
        <w:pStyle w:val="Titresoulign"/>
        <w:spacing w:before="0" w:after="0"/>
        <w:rPr>
          <w:rFonts w:cs="Arial"/>
          <w:sz w:val="24"/>
          <w:u w:val="none"/>
        </w:rPr>
      </w:pPr>
    </w:p>
    <w:sectPr w:rsidR="00B90409" w:rsidRPr="00326066" w:rsidSect="00E51179">
      <w:pgSz w:w="11906" w:h="16838"/>
      <w:pgMar w:top="720" w:right="991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3D"/>
    <w:multiLevelType w:val="multilevel"/>
    <w:tmpl w:val="5F8C16BE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BE30028"/>
    <w:multiLevelType w:val="multilevel"/>
    <w:tmpl w:val="B5CA9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3B016B"/>
    <w:multiLevelType w:val="hybridMultilevel"/>
    <w:tmpl w:val="11CE5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CC1"/>
    <w:multiLevelType w:val="multilevel"/>
    <w:tmpl w:val="F6CEF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8FD1C03"/>
    <w:multiLevelType w:val="multilevel"/>
    <w:tmpl w:val="A0242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9917271"/>
    <w:multiLevelType w:val="multilevel"/>
    <w:tmpl w:val="71902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DD4C66"/>
    <w:multiLevelType w:val="multilevel"/>
    <w:tmpl w:val="57D036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D6"/>
    <w:rsid w:val="000011F4"/>
    <w:rsid w:val="000572C2"/>
    <w:rsid w:val="000E1D09"/>
    <w:rsid w:val="00183218"/>
    <w:rsid w:val="001D4400"/>
    <w:rsid w:val="001E14EF"/>
    <w:rsid w:val="001F0015"/>
    <w:rsid w:val="00254690"/>
    <w:rsid w:val="00295431"/>
    <w:rsid w:val="002C78FB"/>
    <w:rsid w:val="002C7F24"/>
    <w:rsid w:val="002E62EB"/>
    <w:rsid w:val="0032119B"/>
    <w:rsid w:val="00326066"/>
    <w:rsid w:val="00354747"/>
    <w:rsid w:val="003F51D7"/>
    <w:rsid w:val="00571CCF"/>
    <w:rsid w:val="005E709C"/>
    <w:rsid w:val="007549B0"/>
    <w:rsid w:val="007F181F"/>
    <w:rsid w:val="008724D6"/>
    <w:rsid w:val="008A7D8B"/>
    <w:rsid w:val="009C78B5"/>
    <w:rsid w:val="00AA5180"/>
    <w:rsid w:val="00AE4533"/>
    <w:rsid w:val="00B90409"/>
    <w:rsid w:val="00BF4144"/>
    <w:rsid w:val="00C27EBE"/>
    <w:rsid w:val="00CB37FA"/>
    <w:rsid w:val="00D625BD"/>
    <w:rsid w:val="00E07AD4"/>
    <w:rsid w:val="00E51179"/>
    <w:rsid w:val="00EB6346"/>
    <w:rsid w:val="00F27238"/>
    <w:rsid w:val="07A80D7D"/>
    <w:rsid w:val="289FB22F"/>
    <w:rsid w:val="2DE2E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71EB4EA"/>
  <w15:docId w15:val="{C3287E0C-A7CF-4B9E-8CC3-FA626900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C7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95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95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5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5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5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5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5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095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095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095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qFormat/>
    <w:rsid w:val="000952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0952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0952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0952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0952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0952C7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0952C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095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0952C7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0952C7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0952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52C7"/>
    <w:rPr>
      <w:b/>
      <w:bCs/>
      <w:smallCaps/>
      <w:color w:val="0F4761" w:themeColor="accent1" w:themeShade="BF"/>
      <w:spacing w:val="5"/>
    </w:rPr>
  </w:style>
  <w:style w:type="character" w:customStyle="1" w:styleId="ParagraphedelisteCar">
    <w:name w:val="Paragraphe de liste Car"/>
    <w:link w:val="Paragraphedeliste"/>
    <w:uiPriority w:val="34"/>
    <w:qFormat/>
    <w:rsid w:val="000952C7"/>
  </w:style>
  <w:style w:type="character" w:customStyle="1" w:styleId="TitresoulignCar">
    <w:name w:val="Titre souligné Car"/>
    <w:basedOn w:val="Policepardfaut"/>
    <w:link w:val="Titresoulign"/>
    <w:qFormat/>
    <w:rsid w:val="000952C7"/>
    <w:rPr>
      <w:rFonts w:ascii="Arial" w:eastAsiaTheme="minorEastAsia" w:hAnsi="Arial"/>
      <w:b/>
      <w:kern w:val="0"/>
      <w:sz w:val="20"/>
      <w:u w:val="single"/>
      <w:shd w:val="clear" w:color="auto" w:fill="FFFFFF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A044F4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qFormat/>
    <w:rsid w:val="00605CA6"/>
    <w:rPr>
      <w:color w:val="666666"/>
    </w:rPr>
  </w:style>
  <w:style w:type="character" w:styleId="lev">
    <w:name w:val="Strong"/>
    <w:basedOn w:val="Policepardfaut"/>
    <w:uiPriority w:val="22"/>
    <w:qFormat/>
    <w:rsid w:val="00864EA8"/>
    <w:rPr>
      <w:b/>
      <w:bCs/>
    </w:rPr>
  </w:style>
  <w:style w:type="character" w:customStyle="1" w:styleId="katex-mathml">
    <w:name w:val="katex-mathml"/>
    <w:basedOn w:val="Policepardfaut"/>
    <w:qFormat/>
    <w:rsid w:val="00864EA8"/>
  </w:style>
  <w:style w:type="character" w:customStyle="1" w:styleId="mord">
    <w:name w:val="mord"/>
    <w:basedOn w:val="Policepardfaut"/>
    <w:qFormat/>
    <w:rsid w:val="00864EA8"/>
  </w:style>
  <w:style w:type="character" w:customStyle="1" w:styleId="vlist-s">
    <w:name w:val="vlist-s"/>
    <w:basedOn w:val="Policepardfaut"/>
    <w:qFormat/>
    <w:rsid w:val="00864EA8"/>
  </w:style>
  <w:style w:type="paragraph" w:styleId="Titre">
    <w:name w:val="Title"/>
    <w:basedOn w:val="Normal"/>
    <w:next w:val="Corpsdetexte"/>
    <w:link w:val="TitreCar"/>
    <w:uiPriority w:val="10"/>
    <w:qFormat/>
    <w:rsid w:val="00095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5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52C7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0952C7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5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resoulign">
    <w:name w:val="Titre souligné"/>
    <w:basedOn w:val="Normal"/>
    <w:link w:val="TitresoulignCar"/>
    <w:qFormat/>
    <w:rsid w:val="000952C7"/>
    <w:pPr>
      <w:shd w:val="clear" w:color="auto" w:fill="FFFFFF"/>
      <w:spacing w:before="120" w:after="60" w:line="240" w:lineRule="auto"/>
      <w:ind w:right="-23"/>
      <w:jc w:val="both"/>
    </w:pPr>
    <w:rPr>
      <w:rFonts w:ascii="Arial" w:eastAsiaTheme="minorEastAsia" w:hAnsi="Arial" w:cstheme="minorBidi"/>
      <w:b/>
      <w:szCs w:val="24"/>
      <w:u w:val="single"/>
    </w:rPr>
  </w:style>
  <w:style w:type="paragraph" w:customStyle="1" w:styleId="Default">
    <w:name w:val="Default"/>
    <w:qFormat/>
    <w:rsid w:val="000952C7"/>
    <w:rPr>
      <w:rFonts w:ascii="Arial" w:eastAsiaTheme="minorEastAsia" w:hAnsi="Arial" w:cs="Arial"/>
      <w:color w:val="000000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864EA8"/>
    <w:pPr>
      <w:spacing w:beforeAutospacing="1" w:afterAutospacing="1" w:line="240" w:lineRule="auto"/>
    </w:pPr>
    <w:rPr>
      <w:sz w:val="24"/>
      <w:szCs w:val="24"/>
    </w:rPr>
  </w:style>
  <w:style w:type="paragraph" w:customStyle="1" w:styleId="western">
    <w:name w:val="western"/>
    <w:basedOn w:val="Normal"/>
    <w:qFormat/>
    <w:rsid w:val="00FD7523"/>
    <w:pPr>
      <w:spacing w:beforeAutospacing="1" w:after="144"/>
    </w:p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0952C7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E1D09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0E1D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E1D09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0E1D09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1D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1D09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nes.fr/fr/web/CNES-fr/11149-ed-thd-sat-signature-entre-le-cnes-et-la-caisse-des-depots-et-consignations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A4AFEA2FDFE48ACA271651AEA3D41" ma:contentTypeVersion="16" ma:contentTypeDescription="Crée un document." ma:contentTypeScope="" ma:versionID="feda00b6f670fceb07ef1b5e7a9a1f5f">
  <xsd:schema xmlns:xsd="http://www.w3.org/2001/XMLSchema" xmlns:xs="http://www.w3.org/2001/XMLSchema" xmlns:p="http://schemas.microsoft.com/office/2006/metadata/properties" xmlns:ns2="8c48c531-3766-47ec-8860-84ab2ce37dbf" xmlns:ns3="c5cbf7fe-820c-4b22-8f9f-a35bf0032dbc" targetNamespace="http://schemas.microsoft.com/office/2006/metadata/properties" ma:root="true" ma:fieldsID="882b5d385d4c59ddc43c0fa083618456" ns2:_="" ns3:_="">
    <xsd:import namespace="8c48c531-3766-47ec-8860-84ab2ce37dbf"/>
    <xsd:import namespace="c5cbf7fe-820c-4b22-8f9f-a35bf0032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c531-3766-47ec-8860-84ab2ce37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9fe63dc-3284-4d46-8131-8118cebef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bf7fe-820c-4b22-8f9f-a35bf0032d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7d30625-d317-47ad-8b82-441a0042e788}" ma:internalName="TaxCatchAll" ma:showField="CatchAllData" ma:web="c5cbf7fe-820c-4b22-8f9f-a35bf0032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cbf7fe-820c-4b22-8f9f-a35bf0032dbc" xsi:nil="true"/>
    <lcf76f155ced4ddcb4097134ff3c332f xmlns="8c48c531-3766-47ec-8860-84ab2ce37d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0F81C-F433-42D9-83C7-F10124669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8c531-3766-47ec-8860-84ab2ce37dbf"/>
    <ds:schemaRef ds:uri="c5cbf7fe-820c-4b22-8f9f-a35bf0032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93618-3BF6-460A-9225-CB88C7354A7A}">
  <ds:schemaRefs>
    <ds:schemaRef ds:uri="http://schemas.microsoft.com/office/2006/metadata/properties"/>
    <ds:schemaRef ds:uri="http://schemas.microsoft.com/office/infopath/2007/PartnerControls"/>
    <ds:schemaRef ds:uri="c5cbf7fe-820c-4b22-8f9f-a35bf0032dbc"/>
    <ds:schemaRef ds:uri="8c48c531-3766-47ec-8860-84ab2ce37dbf"/>
  </ds:schemaRefs>
</ds:datastoreItem>
</file>

<file path=customXml/itemProps3.xml><?xml version="1.0" encoding="utf-8"?>
<ds:datastoreItem xmlns:ds="http://schemas.openxmlformats.org/officeDocument/2006/customXml" ds:itemID="{DD0E2720-4109-4C8E-A7E2-4F5B396F1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Berthet Agnès</dc:creator>
  <cp:lastModifiedBy>Sabrina Ben Brahim</cp:lastModifiedBy>
  <cp:revision>2</cp:revision>
  <dcterms:created xsi:type="dcterms:W3CDTF">2025-06-18T06:02:00Z</dcterms:created>
  <dcterms:modified xsi:type="dcterms:W3CDTF">2025-06-18T06:02:00Z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2025-01-10T10:10:00Z</dcterms:created>
  <dc:creator>Solene VALLA</dc:creator>
  <dc:description/>
  <dc:language>fr-FR</dc:language>
  <cp:lastModifiedBy>Emmanuelle FORNS</cp:lastModifiedBy>
  <cp:lastPrinted>2025-01-10T10:09:00Z</cp:lastPrinted>
  <dcterms:modified xsi:type="dcterms:W3CDTF">2025-01-28T09:04:00Z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0x010100554A4AFEA2FDFE48ACA271651AEA3D41</vt:lpwstr>
  </property>
  <property fmtid="{D5CDD505-2E9C-101B-9397-08002B2CF9AE}" pid="3" name="MediaServiceImageTags">
    <vt:lpwstr/>
  </property>
</Properties>
</file>