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2060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49531</wp:posOffset>
            </wp:positionH>
            <wp:positionV relativeFrom="paragraph">
              <wp:posOffset>-126364</wp:posOffset>
            </wp:positionV>
            <wp:extent cx="1143000" cy="114300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185420</wp:posOffset>
                </wp:positionV>
                <wp:extent cx="1641475" cy="638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36375" y="3472025"/>
                          <a:ext cx="16192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0"/>
                                <w:vertAlign w:val="baseline"/>
                              </w:rPr>
                              <w:t xml:space="preserve">Chap l’atome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185420</wp:posOffset>
                </wp:positionV>
                <wp:extent cx="1641475" cy="6381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1483205</wp:posOffset>
                </wp:positionH>
                <wp:positionV relativeFrom="paragraph">
                  <wp:posOffset>45720</wp:posOffset>
                </wp:positionV>
                <wp:extent cx="3336925" cy="14268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88650" y="307769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  <w:t xml:space="preserve">Fiche de mémorisation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1483205</wp:posOffset>
                </wp:positionH>
                <wp:positionV relativeFrom="paragraph">
                  <wp:posOffset>45720</wp:posOffset>
                </wp:positionV>
                <wp:extent cx="3336925" cy="14268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6925" cy="142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Borders>
          <w:top w:color="002060" w:space="0" w:sz="12" w:val="single"/>
          <w:left w:color="002060" w:space="0" w:sz="12" w:val="single"/>
          <w:bottom w:color="002060" w:space="0" w:sz="12" w:val="single"/>
          <w:right w:color="002060" w:space="0" w:sz="12" w:val="single"/>
          <w:insideH w:color="002060" w:space="0" w:sz="12" w:val="single"/>
          <w:insideV w:color="002060" w:space="0" w:sz="12" w:val="single"/>
        </w:tblBorders>
        <w:tblLayout w:type="fixed"/>
        <w:tblLook w:val="0400"/>
      </w:tblPr>
      <w:tblGrid>
        <w:gridCol w:w="1413"/>
        <w:gridCol w:w="4819"/>
        <w:gridCol w:w="4395"/>
        <w:tblGridChange w:id="0">
          <w:tblGrid>
            <w:gridCol w:w="1413"/>
            <w:gridCol w:w="4819"/>
            <w:gridCol w:w="4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Partie du Chapitre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Les points essentiels à retenir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(s’aider des objectifs du PdT)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constitution d’un noyau d’un atome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Protons et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neutrons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Partie du Chapitre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Les points essentiels à retenir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(s’aider des objectifs du PdT)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56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